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</w:tblGrid>
      <w:tr w:rsidR="003930B0" w:rsidRPr="00321CDE" w:rsidTr="007D184A">
        <w:trPr>
          <w:trHeight w:val="728"/>
        </w:trPr>
        <w:tc>
          <w:tcPr>
            <w:tcW w:w="4640" w:type="dxa"/>
            <w:vMerge w:val="restart"/>
          </w:tcPr>
          <w:p w:rsidR="003930B0" w:rsidRPr="00321CDE" w:rsidRDefault="003930B0" w:rsidP="007D184A">
            <w:pPr>
              <w:suppressAutoHyphens/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86567D6" wp14:editId="054D36F7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                   </w:t>
            </w:r>
            <w:r w:rsidRPr="00321CDE">
              <w:rPr>
                <w:rFonts w:ascii="Arial Black" w:eastAsia="Times New Roman" w:hAnsi="Arial Black" w:cs="Times New Roman"/>
                <w:b/>
                <w:bCs/>
                <w:color w:val="000000"/>
                <w:spacing w:val="40"/>
                <w:sz w:val="28"/>
                <w:szCs w:val="28"/>
                <w:lang w:eastAsia="ar-SA"/>
              </w:rPr>
              <w:t xml:space="preserve">АДМИНИСТРАЦИЯ </w:t>
            </w:r>
          </w:p>
          <w:p w:rsidR="003930B0" w:rsidRPr="00321CDE" w:rsidRDefault="003930B0" w:rsidP="007D184A">
            <w:pPr>
              <w:shd w:val="clear" w:color="auto" w:fill="FFFFFF"/>
              <w:suppressAutoHyphens/>
              <w:spacing w:before="194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ar-SA"/>
              </w:rPr>
            </w:pPr>
            <w:r w:rsidRPr="00321CDE">
              <w:rPr>
                <w:rFonts w:ascii="Arial Narrow" w:eastAsia="Times New Roman" w:hAnsi="Arial Narrow" w:cs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муниципального района Похвистневский </w:t>
            </w:r>
            <w:r w:rsidRPr="00321CD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ar-SA"/>
              </w:rPr>
              <w:t>Самарской области</w:t>
            </w:r>
          </w:p>
          <w:p w:rsidR="003930B0" w:rsidRPr="00321CDE" w:rsidRDefault="003930B0" w:rsidP="007D184A">
            <w:pPr>
              <w:shd w:val="clear" w:color="auto" w:fill="FFFFFF"/>
              <w:suppressAutoHyphens/>
              <w:spacing w:before="278"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pacing w:val="20"/>
                <w:sz w:val="20"/>
                <w:szCs w:val="20"/>
                <w:lang w:eastAsia="ar-SA"/>
              </w:rPr>
            </w:pPr>
            <w:r w:rsidRPr="00321CDE">
              <w:rPr>
                <w:rFonts w:ascii="Arial Black" w:eastAsia="Times New Roman" w:hAnsi="Arial Black" w:cs="Arial"/>
                <w:b/>
                <w:bCs/>
                <w:color w:val="000000"/>
                <w:spacing w:val="20"/>
                <w:sz w:val="32"/>
                <w:szCs w:val="32"/>
                <w:lang w:eastAsia="ar-SA"/>
              </w:rPr>
              <w:t>ПОСТАНОВЛЕНИЕ</w:t>
            </w:r>
          </w:p>
          <w:p w:rsidR="00624B88" w:rsidRDefault="00624B88" w:rsidP="007D184A">
            <w:pPr>
              <w:shd w:val="clear" w:color="auto" w:fill="FFFFFF"/>
              <w:suppressAutoHyphens/>
              <w:spacing w:before="252"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</w:pPr>
            <w:r w:rsidRPr="00624B8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27.02.2026 № 19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  <w:p w:rsidR="003930B0" w:rsidRPr="00321CDE" w:rsidRDefault="003930B0" w:rsidP="007D184A">
            <w:pPr>
              <w:shd w:val="clear" w:color="auto" w:fill="FFFFFF"/>
              <w:suppressAutoHyphens/>
              <w:spacing w:before="2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21C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г. Похвистнево</w:t>
            </w:r>
          </w:p>
          <w:p w:rsidR="003930B0" w:rsidRPr="00321CDE" w:rsidRDefault="003930B0" w:rsidP="007D184A">
            <w:pPr>
              <w:suppressAutoHyphens/>
              <w:spacing w:after="0" w:line="240" w:lineRule="auto"/>
              <w:ind w:left="185" w:right="-1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425A5F" wp14:editId="5291FB0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9EB5C7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5571F05" wp14:editId="3A4DCB7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2798DB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3930B0" w:rsidRDefault="003930B0" w:rsidP="007D184A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Times New Roman" w:eastAsia="Lucida Sans Unicode" w:hAnsi="Times New Roman" w:cs="Tahoma"/>
                <w:kern w:val="1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   </w:t>
            </w:r>
          </w:p>
          <w:p w:rsidR="003930B0" w:rsidRPr="00321CDE" w:rsidRDefault="003930B0" w:rsidP="007D184A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О внесении изменений  в      муниципальную  программу</w:t>
            </w:r>
            <w:r w:rsidRPr="00321CDE">
              <w:rPr>
                <w:rFonts w:ascii="Times New Roman" w:eastAsia="Lucida Sans Unicode" w:hAnsi="Times New Roman" w:cs="Tahoma"/>
                <w:kern w:val="1"/>
              </w:rPr>
              <w:t xml:space="preserve"> «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Обеспечение деятельности  муниципального казенного учреждения  «Управление капитального строительства, архитектуры и градостроительства,  жилищно-коммунального и дорожного  хозяйства»  муниципального  района Похвистневский Самарской области  на </w:t>
            </w:r>
            <w:r w:rsidR="00B541DE">
              <w:rPr>
                <w:rFonts w:ascii="Times New Roman" w:eastAsia="Lucida Sans Unicode" w:hAnsi="Times New Roman" w:cs="Tahoma"/>
                <w:kern w:val="1"/>
              </w:rPr>
              <w:t>2024-2028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 г</w:t>
            </w:r>
            <w:r w:rsidR="00F90E22">
              <w:rPr>
                <w:rFonts w:ascii="Times New Roman" w:eastAsia="Lucida Sans Unicode" w:hAnsi="Times New Roman" w:cs="Tahoma"/>
                <w:kern w:val="1"/>
              </w:rPr>
              <w:t>оды»</w:t>
            </w:r>
          </w:p>
          <w:p w:rsidR="003930B0" w:rsidRPr="00321CDE" w:rsidRDefault="003930B0" w:rsidP="007D184A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3930B0" w:rsidRPr="00321CDE" w:rsidTr="007D184A">
        <w:trPr>
          <w:trHeight w:val="3878"/>
        </w:trPr>
        <w:tc>
          <w:tcPr>
            <w:tcW w:w="4640" w:type="dxa"/>
            <w:vMerge/>
            <w:vAlign w:val="center"/>
            <w:hideMark/>
          </w:tcPr>
          <w:p w:rsidR="003930B0" w:rsidRPr="00321CDE" w:rsidRDefault="003930B0" w:rsidP="007D184A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930B0" w:rsidRDefault="003930B0" w:rsidP="003930B0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321CDE" w:rsidRDefault="003930B0" w:rsidP="003930B0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</w:rPr>
      </w:pP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textWrapping" w:clear="all"/>
      </w:r>
    </w:p>
    <w:p w:rsidR="0091303D" w:rsidRDefault="003930B0" w:rsidP="0091303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321CDE">
        <w:rPr>
          <w:rFonts w:ascii="Times New Roman" w:eastAsia="Lucida Sans Unicode" w:hAnsi="Times New Roman" w:cs="Tahoma"/>
          <w:kern w:val="1"/>
          <w:sz w:val="24"/>
          <w:szCs w:val="24"/>
        </w:rPr>
        <w:t xml:space="preserve">      </w:t>
      </w:r>
      <w:r w:rsidRPr="00321CDE">
        <w:rPr>
          <w:rFonts w:ascii="Times New Roman" w:eastAsia="Lucida Sans Unicode" w:hAnsi="Times New Roman" w:cs="Tahoma"/>
          <w:kern w:val="1"/>
          <w:sz w:val="24"/>
          <w:szCs w:val="24"/>
        </w:rPr>
        <w:tab/>
      </w:r>
      <w:r w:rsidR="0091303D" w:rsidRPr="0091303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В соответствии со статьей 179 Бюджетного </w:t>
      </w:r>
      <w:r w:rsidR="007077F3">
        <w:rPr>
          <w:rFonts w:ascii="Times New Roman" w:eastAsia="Lucida Sans Unicode" w:hAnsi="Times New Roman" w:cs="Tahoma"/>
          <w:kern w:val="1"/>
          <w:sz w:val="28"/>
          <w:szCs w:val="28"/>
        </w:rPr>
        <w:t>кодекса Российской Федерации, с п</w:t>
      </w:r>
      <w:r w:rsidR="0091303D" w:rsidRPr="0091303D">
        <w:rPr>
          <w:rFonts w:ascii="Times New Roman" w:eastAsia="Lucida Sans Unicode" w:hAnsi="Times New Roman" w:cs="Tahoma"/>
          <w:kern w:val="1"/>
          <w:sz w:val="28"/>
          <w:szCs w:val="28"/>
        </w:rPr>
        <w:t>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</w:t>
      </w:r>
      <w:r w:rsidR="00892C0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 </w:t>
      </w:r>
      <w:r w:rsidR="00F8107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91303D" w:rsidRPr="0091303D">
        <w:rPr>
          <w:rFonts w:ascii="Times New Roman" w:eastAsia="Lucida Sans Unicode" w:hAnsi="Times New Roman" w:cs="Tahoma"/>
          <w:kern w:val="1"/>
          <w:sz w:val="28"/>
          <w:szCs w:val="28"/>
        </w:rPr>
        <w:t>Администрация муниципального района Похвистневский Самарской области</w:t>
      </w:r>
    </w:p>
    <w:p w:rsidR="0091303D" w:rsidRDefault="0091303D" w:rsidP="0091303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</w:p>
    <w:p w:rsidR="003930B0" w:rsidRPr="00321CDE" w:rsidRDefault="0091303D" w:rsidP="0091303D">
      <w:pPr>
        <w:widowControl w:val="0"/>
        <w:suppressAutoHyphens/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930B0" w:rsidRPr="00321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3930B0" w:rsidRDefault="003930B0" w:rsidP="003930B0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м</w:t>
      </w:r>
      <w:r w:rsidRPr="00321C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униципальную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программу</w:t>
      </w:r>
      <w:r w:rsidRPr="00321C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  муниципально</w:t>
      </w:r>
      <w:r w:rsidR="008B0CB6">
        <w:rPr>
          <w:rFonts w:ascii="Times New Roman" w:eastAsia="Lucida Sans Unicode" w:hAnsi="Times New Roman" w:cs="Times New Roman"/>
          <w:kern w:val="1"/>
          <w:sz w:val="28"/>
          <w:szCs w:val="28"/>
        </w:rPr>
        <w:t>го района</w:t>
      </w:r>
      <w:r w:rsidRPr="00321C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Похвистневский Самарс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кой области  на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2024-2028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годы», утвержденную постановлением </w:t>
      </w:r>
      <w:r w:rsidRPr="00A60EDC">
        <w:rPr>
          <w:rFonts w:ascii="Times New Roman" w:eastAsia="Lucida Sans Unicode" w:hAnsi="Times New Roman" w:cs="Times New Roman"/>
          <w:kern w:val="1"/>
          <w:sz w:val="28"/>
          <w:szCs w:val="28"/>
        </w:rPr>
        <w:t>Администрации муниципального района Похвистневский Самарской области от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0F644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12.09.2023</w:t>
      </w:r>
      <w:r w:rsidR="00110B4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года   №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624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следующие изменения:</w:t>
      </w:r>
    </w:p>
    <w:p w:rsidR="003930B0" w:rsidRDefault="00892C0A" w:rsidP="00815B87">
      <w:pPr>
        <w:spacing w:after="1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92C0A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-</w:t>
      </w:r>
      <w:r w:rsidR="003930B0" w:rsidRPr="00892C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Приложение № </w:t>
      </w:r>
      <w:r w:rsidRPr="00892C0A">
        <w:rPr>
          <w:rFonts w:ascii="Times New Roman" w:eastAsia="Lucida Sans Unicode" w:hAnsi="Times New Roman" w:cs="Times New Roman"/>
          <w:kern w:val="1"/>
          <w:sz w:val="28"/>
          <w:szCs w:val="28"/>
        </w:rPr>
        <w:t>1</w:t>
      </w:r>
      <w:r w:rsidR="003930B0" w:rsidRPr="00892C0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Перечень стратегических показателей  </w:t>
      </w:r>
      <w:r w:rsidRPr="00892C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индикаторов</w:t>
      </w:r>
      <w:r w:rsidRPr="00892C0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характеризующих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ежегодный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892C0A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казенного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92C0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капитального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Pr="00892C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градостроительства</w:t>
      </w:r>
      <w:r w:rsidRPr="00892C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жилищно</w:t>
      </w:r>
      <w:r w:rsidRPr="00892C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коммунального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дорожного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хозяйства</w:t>
      </w:r>
      <w:r w:rsidRPr="00892C0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Похвистневский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Самарской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892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92C0A">
        <w:rPr>
          <w:rFonts w:ascii="Times New Roman" w:hAnsi="Times New Roman" w:cs="Times New Roman"/>
          <w:sz w:val="28"/>
          <w:szCs w:val="28"/>
        </w:rPr>
        <w:t xml:space="preserve"> 2024 - 2028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892C0A">
        <w:rPr>
          <w:rFonts w:ascii="Times New Roman" w:hAnsi="Times New Roman" w:cs="Times New Roman"/>
          <w:sz w:val="28"/>
          <w:szCs w:val="28"/>
        </w:rPr>
        <w:t>»</w:t>
      </w:r>
      <w:r w:rsidR="003930B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изложить в нов</w:t>
      </w:r>
      <w:r w:rsidR="003F19A0">
        <w:rPr>
          <w:rFonts w:ascii="Times New Roman" w:eastAsia="Lucida Sans Unicode" w:hAnsi="Times New Roman" w:cs="Times New Roman"/>
          <w:kern w:val="1"/>
          <w:sz w:val="28"/>
          <w:szCs w:val="28"/>
        </w:rPr>
        <w:t>ой редакции</w:t>
      </w:r>
      <w:r w:rsidR="00F8107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F8107A" w:rsidRPr="00F8107A">
        <w:rPr>
          <w:rFonts w:ascii="Times New Roman" w:eastAsia="Lucida Sans Unicode" w:hAnsi="Times New Roman" w:cs="Times New Roman"/>
          <w:kern w:val="1"/>
          <w:sz w:val="28"/>
          <w:szCs w:val="28"/>
        </w:rPr>
        <w:t>согласно приложению  к настоящему Постановлению.</w:t>
      </w:r>
      <w:r w:rsidR="00F8107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</w:p>
    <w:p w:rsidR="0091303D" w:rsidRDefault="0091303D" w:rsidP="0091303D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D7695">
        <w:rPr>
          <w:rFonts w:ascii="Times New Roman" w:eastAsia="Lucida Sans Unicode" w:hAnsi="Times New Roman" w:cs="Times New Roman"/>
          <w:kern w:val="1"/>
          <w:sz w:val="28"/>
          <w:szCs w:val="28"/>
        </w:rPr>
        <w:t>2. Настоящ</w:t>
      </w:r>
      <w:r w:rsidR="00BB5BA1">
        <w:rPr>
          <w:rFonts w:ascii="Times New Roman" w:eastAsia="Lucida Sans Unicode" w:hAnsi="Times New Roman" w:cs="Times New Roman"/>
          <w:kern w:val="1"/>
          <w:sz w:val="28"/>
          <w:szCs w:val="28"/>
        </w:rPr>
        <w:t>е</w:t>
      </w:r>
      <w:r w:rsidRPr="008D769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е </w:t>
      </w:r>
      <w:r w:rsidR="00BB5BA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Постановление </w:t>
      </w:r>
      <w:r w:rsidR="007077F3">
        <w:rPr>
          <w:rFonts w:ascii="Times New Roman" w:eastAsia="Lucida Sans Unicode" w:hAnsi="Times New Roman" w:cs="Times New Roman"/>
          <w:kern w:val="1"/>
          <w:sz w:val="28"/>
          <w:szCs w:val="28"/>
        </w:rPr>
        <w:t>подлеж</w:t>
      </w:r>
      <w:r w:rsidR="00BB5BA1">
        <w:rPr>
          <w:rFonts w:ascii="Times New Roman" w:eastAsia="Lucida Sans Unicode" w:hAnsi="Times New Roman" w:cs="Times New Roman"/>
          <w:kern w:val="1"/>
          <w:sz w:val="28"/>
          <w:szCs w:val="28"/>
        </w:rPr>
        <w:t>и</w:t>
      </w:r>
      <w:r w:rsidR="00F8107A" w:rsidRPr="00F8107A">
        <w:rPr>
          <w:rFonts w:ascii="Times New Roman" w:eastAsia="Lucida Sans Unicode" w:hAnsi="Times New Roman" w:cs="Times New Roman"/>
          <w:kern w:val="1"/>
          <w:sz w:val="28"/>
          <w:szCs w:val="28"/>
        </w:rPr>
        <w:t>т размещению на сайте Администрации муниципального района Похвистневский Самарской области.</w:t>
      </w:r>
      <w:r w:rsidR="00F8107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</w:p>
    <w:p w:rsidR="0091303D" w:rsidRPr="008D7695" w:rsidRDefault="0091303D" w:rsidP="0091303D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3. </w:t>
      </w:r>
      <w:r w:rsidRPr="009E4E9C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вступает в силу со дня подписания.</w:t>
      </w:r>
    </w:p>
    <w:p w:rsidR="0091303D" w:rsidRDefault="0091303D" w:rsidP="0091303D">
      <w:pPr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района по капитальному строительству, архитектур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градостроительств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жилищно-коммунально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дорожно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района Похвистневский </w:t>
      </w:r>
      <w:r w:rsidR="00254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 области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 Райкова. </w:t>
      </w:r>
    </w:p>
    <w:p w:rsidR="003930B0" w:rsidRDefault="003930B0" w:rsidP="003930B0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534C7" w:rsidRPr="00321CDE" w:rsidRDefault="005534C7" w:rsidP="003930B0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985D7F" w:rsidRDefault="003930B0" w:rsidP="003930B0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</w:t>
      </w:r>
      <w:r w:rsidR="00985D7F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</w:r>
    </w:p>
    <w:p w:rsidR="003930B0" w:rsidRDefault="003930B0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Глав</w:t>
      </w:r>
      <w:r w:rsidR="00B553BB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а</w:t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района          </w:t>
      </w:r>
      <w:r w:rsidR="00B12671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</w:r>
      <w:r w:rsidR="00B12671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                                 </w:t>
      </w:r>
      <w:r w:rsidR="00B553BB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А</w:t>
      </w:r>
      <w:r w:rsidR="00CE16FD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.В</w:t>
      </w:r>
      <w:r w:rsidR="00B12671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. </w:t>
      </w:r>
      <w:r w:rsidR="00B553BB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Шахвалов</w:t>
      </w: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935E33" w:rsidRDefault="00935E33">
      <w:pPr>
        <w:jc w:val="right"/>
        <w:rPr>
          <w:rFonts w:ascii="Times New Roman" w:hAnsi="Times New Roman" w:cs="Arial"/>
          <w:bCs/>
          <w:sz w:val="20"/>
          <w:szCs w:val="20"/>
        </w:rPr>
        <w:sectPr w:rsidR="00935E33" w:rsidSect="0091303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7393"/>
      </w:tblGrid>
      <w:tr w:rsidR="00CB62EB" w:rsidTr="00CB62EB">
        <w:tc>
          <w:tcPr>
            <w:tcW w:w="7054" w:type="dxa"/>
          </w:tcPr>
          <w:p w:rsidR="00CB62EB" w:rsidRDefault="00CB62EB">
            <w:pPr>
              <w:jc w:val="right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7393" w:type="dxa"/>
            <w:hideMark/>
          </w:tcPr>
          <w:p w:rsidR="00CB62EB" w:rsidRDefault="00CB62EB">
            <w:pPr>
              <w:jc w:val="right"/>
              <w:rPr>
                <w:rFonts w:ascii="Times New Roman" w:hAnsi="Times New Roman"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1 к муниципальной программе </w:t>
            </w:r>
          </w:p>
          <w:p w:rsidR="00CB62EB" w:rsidRDefault="00CB62EB">
            <w:pPr>
              <w:jc w:val="right"/>
              <w:rPr>
                <w:rFonts w:ascii="Times New Roman" w:hAnsi="Times New Roman"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  муниципального района Похвистневский Самарской области  на 2024-2028 годы».</w:t>
            </w:r>
          </w:p>
        </w:tc>
      </w:tr>
    </w:tbl>
    <w:p w:rsidR="00CB62EB" w:rsidRDefault="00CB62EB" w:rsidP="00CB62EB">
      <w:pPr>
        <w:jc w:val="right"/>
        <w:rPr>
          <w:rFonts w:cs="Arial"/>
          <w:bCs/>
          <w:sz w:val="24"/>
        </w:rPr>
      </w:pPr>
    </w:p>
    <w:p w:rsidR="00CB62EB" w:rsidRDefault="00CB62EB" w:rsidP="00CB62EB">
      <w:pPr>
        <w:jc w:val="right"/>
        <w:rPr>
          <w:sz w:val="24"/>
        </w:rPr>
      </w:pPr>
    </w:p>
    <w:p w:rsidR="00CB62EB" w:rsidRDefault="00CB62EB" w:rsidP="00CB62EB">
      <w:pPr>
        <w:jc w:val="right"/>
        <w:rPr>
          <w:sz w:val="24"/>
        </w:rPr>
      </w:pPr>
    </w:p>
    <w:p w:rsidR="00CB62EB" w:rsidRDefault="00CB62EB" w:rsidP="00CB62EB">
      <w:pPr>
        <w:jc w:val="right"/>
        <w:rPr>
          <w:sz w:val="28"/>
        </w:rPr>
      </w:pPr>
    </w:p>
    <w:p w:rsidR="00CB62EB" w:rsidRDefault="00CB62EB" w:rsidP="00CB62EB">
      <w:pPr>
        <w:spacing w:after="1"/>
        <w:jc w:val="center"/>
        <w:rPr>
          <w:rFonts w:cs="Times New Roman"/>
          <w:b/>
          <w:sz w:val="24"/>
        </w:rPr>
      </w:pPr>
      <w:r>
        <w:rPr>
          <w:rFonts w:cs="Times New Roman"/>
          <w:b/>
          <w:bCs/>
          <w:sz w:val="24"/>
        </w:rPr>
        <w:t>ПЕРЕЧЕНЬ</w:t>
      </w:r>
    </w:p>
    <w:p w:rsidR="00CB62EB" w:rsidRDefault="00CB62EB" w:rsidP="00CB62EB">
      <w:pPr>
        <w:spacing w:after="1"/>
        <w:jc w:val="center"/>
        <w:rPr>
          <w:rFonts w:cs="Times New Roman"/>
          <w:b/>
          <w:sz w:val="24"/>
        </w:rPr>
      </w:pPr>
      <w:r>
        <w:rPr>
          <w:rFonts w:cs="Times New Roman"/>
          <w:b/>
          <w:bCs/>
          <w:sz w:val="24"/>
        </w:rPr>
        <w:t>СТРАТЕГИЧЕСКИХ ПОКАЗАТЕЛЕЙ (ИНДИКАТОРОВ), ХАРАКТЕРИЗУЮЩИХ ЕЖЕГОДНЫЙ ХОД И ИТОГИ РЕАЛИЗАЦИИ МУНИЦИПАЛЬНОЙ ПРОГРАММЫ  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 МУНИЦИПАЛЬНОГО РАЙОНА ПОХВИСТНЕВСКИЙ САМАРСКОЙ ОБЛАСТИ НА 2024 - 2028 ГОДЫ»</w:t>
      </w:r>
    </w:p>
    <w:p w:rsidR="00CB62EB" w:rsidRDefault="00CB62EB" w:rsidP="00CB62EB">
      <w:pPr>
        <w:spacing w:after="1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 xml:space="preserve">(далее - муниципальная программа) </w:t>
      </w:r>
    </w:p>
    <w:p w:rsidR="00CB62EB" w:rsidRDefault="00CB62EB" w:rsidP="00CB62EB">
      <w:pPr>
        <w:spacing w:after="1"/>
        <w:jc w:val="center"/>
        <w:rPr>
          <w:rFonts w:cs="Times New Roman"/>
          <w:b/>
          <w:bCs/>
          <w:sz w:val="24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0"/>
        <w:gridCol w:w="2553"/>
        <w:gridCol w:w="1276"/>
        <w:gridCol w:w="1417"/>
        <w:gridCol w:w="1275"/>
        <w:gridCol w:w="1274"/>
        <w:gridCol w:w="1134"/>
        <w:gridCol w:w="1274"/>
        <w:gridCol w:w="1275"/>
        <w:gridCol w:w="1275"/>
        <w:gridCol w:w="1417"/>
      </w:tblGrid>
      <w:tr w:rsidR="00CB62EB" w:rsidTr="00CB62EB">
        <w:trPr>
          <w:trHeight w:val="77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N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Наименование цели, задачи,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Отчет 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Оценка 2023</w:t>
            </w:r>
          </w:p>
        </w:tc>
        <w:tc>
          <w:tcPr>
            <w:tcW w:w="7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Прогнозируемые значения показателя (индикатора)</w:t>
            </w:r>
          </w:p>
        </w:tc>
      </w:tr>
      <w:tr w:rsidR="00CB62EB" w:rsidTr="00CB62E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2EB" w:rsidRDefault="00CB62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2025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2028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t>Итого за период реализации</w:t>
            </w:r>
          </w:p>
        </w:tc>
      </w:tr>
      <w:tr w:rsidR="00CB62EB" w:rsidTr="00CB62EB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Цель муниципальной программы: реализация на территории муниципального района Похвистневский социально-экономической </w:t>
            </w:r>
            <w:r>
              <w:rPr>
                <w:rFonts w:cs="Times New Roman"/>
                <w:b/>
                <w:bCs/>
                <w:sz w:val="24"/>
              </w:rPr>
              <w:lastRenderedPageBreak/>
              <w:t>политики и  осуществлении регулирования в сфере капитального строительства, архитектуры и градостроительства, жилищно-коммунального и дорожного хозяйства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lastRenderedPageBreak/>
              <w:t>1.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u w:val="single"/>
              </w:rPr>
              <w:t>ЗАДАЧА 1: технико-экономическое обоснование проектов капитального строительства, реконструкции и ремонта объектов, организация и контроль над капитальным  строительством, реконструкцией и ремонтом объектов, утвержденных планом муниципального района Похвистневский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1.1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u w:val="single"/>
              </w:rPr>
              <w:t>Стратегический показатель 1.</w:t>
            </w:r>
            <w:r>
              <w:rPr>
                <w:rFonts w:cs="Times New Roman"/>
                <w:bCs/>
                <w:sz w:val="24"/>
              </w:rPr>
              <w:t xml:space="preserve"> </w:t>
            </w:r>
          </w:p>
          <w:p w:rsidR="00CB62EB" w:rsidRDefault="00CB62EB">
            <w:pPr>
              <w:spacing w:after="1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z w:val="24"/>
              </w:rPr>
              <w:t xml:space="preserve">количество сметной документации 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 xml:space="preserve">ремонтно-строительных работ, строительно-монтажных работ объектов реконструкции и капитального и текущего ремонта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>428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t>2.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 w:val="24"/>
                <w:u w:val="single"/>
              </w:rPr>
              <w:t>ЗАДАЧА 2: создание безопасной, экологически чистой благоприятной среды жизнедеятельности человека, своевременное изготовление необходимой документации для проектирования и строительства объектов производственного, социального значения, жилья на территории района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u w:val="single"/>
              </w:rPr>
              <w:t>Стратегический показатель 2.1.</w:t>
            </w:r>
            <w:r>
              <w:rPr>
                <w:rFonts w:cs="Times New Roman"/>
                <w:bCs/>
                <w:sz w:val="24"/>
              </w:rPr>
              <w:t xml:space="preserve"> 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 xml:space="preserve">количество разработанных </w:t>
            </w:r>
            <w:r>
              <w:rPr>
                <w:rFonts w:cs="Times New Roman"/>
                <w:bCs/>
                <w:sz w:val="24"/>
              </w:rPr>
              <w:lastRenderedPageBreak/>
              <w:t>градостроительных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>36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lastRenderedPageBreak/>
              <w:t>2.2.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u w:val="single"/>
              </w:rPr>
              <w:t>Стратегический показатель 2.2.</w:t>
            </w:r>
            <w:r>
              <w:rPr>
                <w:rFonts w:cs="Times New Roman"/>
                <w:bCs/>
                <w:sz w:val="24"/>
              </w:rPr>
              <w:t xml:space="preserve"> 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количество выданных разрешений на строительство (уведомление о планируемом строительстве и реконструкции  объекта индивидуального жилищного строительства или садового дома)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t>128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/>
                <w:bCs/>
              </w:rPr>
              <w:t>2.3.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>
              <w:rPr>
                <w:rFonts w:cs="Times New Roman"/>
                <w:bCs/>
                <w:u w:val="single"/>
              </w:rPr>
              <w:t xml:space="preserve">Стратегический показатель 2.3. 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>
              <w:t xml:space="preserve">количество выданных разрешений на ввод  объекта в эксплуатацию (уведомление об окончании строительства или реконструкции объекта  индивидуального </w:t>
            </w:r>
            <w:r>
              <w:lastRenderedPageBreak/>
              <w:t>жилищного  строительства или садового дома)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/>
                <w:bCs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/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/>
                <w:bCs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/>
                <w:b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/>
                <w:b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</w:rPr>
              <w:t>129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lastRenderedPageBreak/>
              <w:t>2.4.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Cs/>
                <w:sz w:val="24"/>
                <w:u w:val="single"/>
              </w:rPr>
              <w:t>Стратегический показатель 2.4.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количество и площадь введенных в эксплуатацию жилых домов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20511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8130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4906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t>20 536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2.5.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Cs/>
                <w:sz w:val="24"/>
                <w:u w:val="single"/>
              </w:rPr>
              <w:t>Стратегический показатель 2.5.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 xml:space="preserve">количество выданных разрешений на строительство (уведомление о планируемом строительстве и реконструкции  объекта индивидуального жилищного строительства или садового дома), </w:t>
            </w:r>
            <w:r>
              <w:rPr>
                <w:rFonts w:cs="Times New Roman"/>
                <w:bCs/>
                <w:sz w:val="24"/>
              </w:rPr>
              <w:lastRenderedPageBreak/>
              <w:t>осуществленного с привлечением средств материнского (семейного) капитала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tabs>
                <w:tab w:val="left" w:pos="1140"/>
              </w:tabs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t>15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lastRenderedPageBreak/>
              <w:t>3.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u w:val="single"/>
              </w:rPr>
              <w:t>ЗАДАЧА 3: развитие и улучшение транспортно-эксплуатационных качеств автомобильных дорог общего пользования местного значения</w:t>
            </w:r>
          </w:p>
        </w:tc>
      </w:tr>
      <w:tr w:rsidR="00CB62EB" w:rsidTr="00CB62EB">
        <w:trPr>
          <w:trHeight w:val="7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3.1.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u w:val="single"/>
              </w:rPr>
              <w:t>Стратегический показатель 3.1.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объемы ввода в эксплуатацию после строительства, реконструкции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53127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49 289,58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57183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>256 472,58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>4.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u w:val="single"/>
              </w:rPr>
              <w:t>ЗАДАЧА 4: создание условий для устойчивого развития территорий, а также объектов  коммунально-бытового назначения, инженерных сетей и сооружений муниципального района Похвистневский</w:t>
            </w:r>
          </w:p>
        </w:tc>
      </w:tr>
      <w:tr w:rsidR="00CB62EB" w:rsidTr="00CB62EB">
        <w:trPr>
          <w:trHeight w:val="185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4.1.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Cs/>
                <w:sz w:val="24"/>
                <w:u w:val="single"/>
              </w:rPr>
              <w:t>Стратегический показатель 4.1.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количество благоустроенных общественных и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>12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</w:rPr>
              <w:lastRenderedPageBreak/>
              <w:t>5.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 w:val="24"/>
                <w:u w:val="single"/>
              </w:rPr>
              <w:t>ЗАДАЧА 5: создание условий для выполнения реформы по обращению с ТКО</w:t>
            </w:r>
          </w:p>
        </w:tc>
      </w:tr>
      <w:tr w:rsidR="00CB62EB" w:rsidTr="00CB62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 xml:space="preserve">5.1.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Cs/>
                <w:sz w:val="24"/>
                <w:u w:val="single"/>
              </w:rPr>
              <w:t>Стратегический показатель 5.1.</w:t>
            </w:r>
          </w:p>
          <w:p w:rsidR="00CB62EB" w:rsidRDefault="00CB62EB">
            <w:pPr>
              <w:spacing w:after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 xml:space="preserve">организация вывоза ТКО (объем)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15000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2925,010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15500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2EB" w:rsidRDefault="00CB62EB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>63 425,01</w:t>
            </w:r>
          </w:p>
        </w:tc>
      </w:tr>
    </w:tbl>
    <w:p w:rsidR="00CB62EB" w:rsidRDefault="00CB62EB" w:rsidP="00CB62EB">
      <w:pPr>
        <w:spacing w:after="1"/>
        <w:jc w:val="both"/>
        <w:rPr>
          <w:rFonts w:cs="Times New Roman"/>
          <w:bCs/>
          <w:sz w:val="24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CB62EB" w:rsidRPr="00321CDE" w:rsidRDefault="00CB62EB" w:rsidP="001E1A4B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  <w:bookmarkStart w:id="0" w:name="_GoBack"/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E33" w:rsidRDefault="00935E33" w:rsidP="003930B0">
      <w:pPr>
        <w:sectPr w:rsidR="00935E33" w:rsidSect="00935E33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3930B0" w:rsidRDefault="003930B0" w:rsidP="003930B0"/>
    <w:bookmarkEnd w:id="0"/>
    <w:p w:rsidR="00FB7FED" w:rsidRDefault="00FB7FED"/>
    <w:sectPr w:rsidR="00FB7FED" w:rsidSect="009130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1A"/>
    <w:rsid w:val="0000378C"/>
    <w:rsid w:val="00017ED3"/>
    <w:rsid w:val="00094366"/>
    <w:rsid w:val="000E6A34"/>
    <w:rsid w:val="000F6444"/>
    <w:rsid w:val="00110B40"/>
    <w:rsid w:val="001475B0"/>
    <w:rsid w:val="00161FE6"/>
    <w:rsid w:val="001E1A4B"/>
    <w:rsid w:val="002548B9"/>
    <w:rsid w:val="00294653"/>
    <w:rsid w:val="003140B8"/>
    <w:rsid w:val="003930B0"/>
    <w:rsid w:val="003F19A0"/>
    <w:rsid w:val="004275BB"/>
    <w:rsid w:val="00490158"/>
    <w:rsid w:val="005534C7"/>
    <w:rsid w:val="00624B88"/>
    <w:rsid w:val="007077F3"/>
    <w:rsid w:val="0072596F"/>
    <w:rsid w:val="007E1ED0"/>
    <w:rsid w:val="00802CF3"/>
    <w:rsid w:val="00806622"/>
    <w:rsid w:val="00815B87"/>
    <w:rsid w:val="008479F7"/>
    <w:rsid w:val="00892C0A"/>
    <w:rsid w:val="008B0CB6"/>
    <w:rsid w:val="008C4598"/>
    <w:rsid w:val="0091303D"/>
    <w:rsid w:val="009153F2"/>
    <w:rsid w:val="00935E33"/>
    <w:rsid w:val="00985D7F"/>
    <w:rsid w:val="00A63698"/>
    <w:rsid w:val="00B12671"/>
    <w:rsid w:val="00B22B36"/>
    <w:rsid w:val="00B541DE"/>
    <w:rsid w:val="00B553BB"/>
    <w:rsid w:val="00BA10A8"/>
    <w:rsid w:val="00BB5BA1"/>
    <w:rsid w:val="00BF081A"/>
    <w:rsid w:val="00CA30CC"/>
    <w:rsid w:val="00CB62EB"/>
    <w:rsid w:val="00CE16FD"/>
    <w:rsid w:val="00CE478C"/>
    <w:rsid w:val="00DF109B"/>
    <w:rsid w:val="00E13B8D"/>
    <w:rsid w:val="00F8107A"/>
    <w:rsid w:val="00F90E22"/>
    <w:rsid w:val="00FB7FED"/>
    <w:rsid w:val="00FC3D2E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04B7"/>
  <w15:docId w15:val="{112A645D-5552-496B-B19A-6E9011E3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B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C4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Жаным</dc:creator>
  <cp:keywords/>
  <dc:description/>
  <cp:lastModifiedBy>Org_otdel_NPA</cp:lastModifiedBy>
  <cp:revision>53</cp:revision>
  <cp:lastPrinted>2026-03-02T12:32:00Z</cp:lastPrinted>
  <dcterms:created xsi:type="dcterms:W3CDTF">2021-01-21T11:35:00Z</dcterms:created>
  <dcterms:modified xsi:type="dcterms:W3CDTF">2026-03-04T06:59:00Z</dcterms:modified>
</cp:coreProperties>
</file>