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8"/>
      </w:tblGrid>
      <w:tr w:rsidR="00182152" w:rsidTr="006521F5">
        <w:trPr>
          <w:trHeight w:val="728"/>
        </w:trPr>
        <w:tc>
          <w:tcPr>
            <w:tcW w:w="4518" w:type="dxa"/>
            <w:vMerge w:val="restart"/>
            <w:shd w:val="clear" w:color="auto" w:fill="auto"/>
          </w:tcPr>
          <w:p w:rsidR="00182152" w:rsidRDefault="00182152" w:rsidP="0086358A">
            <w:pPr>
              <w:ind w:right="-90"/>
              <w:jc w:val="center"/>
            </w:pPr>
            <w:r>
              <w:rPr>
                <w:rFonts w:eastAsia="Arial"/>
              </w:rPr>
              <w:t xml:space="preserve">                   </w:t>
            </w:r>
          </w:p>
          <w:p w:rsidR="00182152" w:rsidRDefault="00182152" w:rsidP="0086358A">
            <w:pPr>
              <w:ind w:right="-90"/>
              <w:jc w:val="center"/>
            </w:pPr>
          </w:p>
          <w:p w:rsidR="00182152" w:rsidRDefault="00182152" w:rsidP="0086358A">
            <w:pPr>
              <w:ind w:right="-90"/>
              <w:jc w:val="center"/>
            </w:pPr>
          </w:p>
          <w:p w:rsidR="00182152" w:rsidRDefault="00750808" w:rsidP="00682F1B">
            <w:pPr>
              <w:ind w:right="-90"/>
              <w:jc w:val="center"/>
              <w:rPr>
                <w:rFonts w:ascii="Arial Narrow" w:hAnsi="Arial Narrow" w:cs="Arial Narrow"/>
                <w:b/>
                <w:bCs/>
                <w:spacing w:val="-5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 wp14:anchorId="10D3E337" wp14:editId="2BC070DA">
                  <wp:simplePos x="0" y="0"/>
                  <wp:positionH relativeFrom="column">
                    <wp:posOffset>1070610</wp:posOffset>
                  </wp:positionH>
                  <wp:positionV relativeFrom="paragraph">
                    <wp:posOffset>-617220</wp:posOffset>
                  </wp:positionV>
                  <wp:extent cx="410845" cy="593725"/>
                  <wp:effectExtent l="0" t="0" r="8255" b="0"/>
                  <wp:wrapTight wrapText="bothSides">
                    <wp:wrapPolygon edited="0">
                      <wp:start x="0" y="0"/>
                      <wp:lineTo x="0" y="20791"/>
                      <wp:lineTo x="21032" y="20791"/>
                      <wp:lineTo x="21032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593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2152">
              <w:rPr>
                <w:rFonts w:ascii="Arial Black" w:hAnsi="Arial Black" w:cs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182152" w:rsidRDefault="00182152" w:rsidP="00682F1B">
            <w:pPr>
              <w:shd w:val="clear" w:color="auto" w:fill="FFFFFF"/>
              <w:spacing w:before="194" w:after="0" w:line="293" w:lineRule="exact"/>
              <w:jc w:val="center"/>
              <w:rPr>
                <w:rFonts w:cs="Times New Roman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bCs/>
                <w:spacing w:val="-5"/>
              </w:rPr>
              <w:t xml:space="preserve">муниципального района Похвистневский </w:t>
            </w:r>
            <w:r>
              <w:rPr>
                <w:rFonts w:ascii="Arial Narrow" w:hAnsi="Arial Narrow" w:cs="Arial Narrow"/>
                <w:b/>
                <w:bCs/>
              </w:rPr>
              <w:t>Самарской области</w:t>
            </w:r>
          </w:p>
          <w:p w:rsidR="00182152" w:rsidRPr="00633EE8" w:rsidRDefault="00182152" w:rsidP="00682F1B">
            <w:pPr>
              <w:shd w:val="clear" w:color="auto" w:fill="FFFFFF"/>
              <w:spacing w:before="278" w:after="0"/>
              <w:jc w:val="center"/>
              <w:rPr>
                <w:sz w:val="28"/>
                <w:szCs w:val="28"/>
              </w:rPr>
            </w:pPr>
            <w:r w:rsidRPr="00633EE8">
              <w:rPr>
                <w:rFonts w:cs="Times New Roman"/>
                <w:b/>
                <w:bCs/>
                <w:spacing w:val="20"/>
                <w:sz w:val="28"/>
                <w:szCs w:val="28"/>
              </w:rPr>
              <w:t>ПОСТАНОВЛЕНИЕ</w:t>
            </w:r>
          </w:p>
          <w:p w:rsidR="00182152" w:rsidRDefault="00815134" w:rsidP="00682F1B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 w:after="0"/>
              <w:ind w:left="180"/>
              <w:jc w:val="center"/>
              <w:rPr>
                <w:rFonts w:eastAsia="Arial" w:cs="Arial"/>
                <w:spacing w:val="-3"/>
              </w:rPr>
            </w:pPr>
            <w:proofErr w:type="gramStart"/>
            <w:r>
              <w:t>09.02.2026</w:t>
            </w:r>
            <w:r w:rsidR="00AB0E69">
              <w:t xml:space="preserve"> </w:t>
            </w:r>
            <w:r w:rsidR="00182152">
              <w:t xml:space="preserve"> </w:t>
            </w:r>
            <w:r w:rsidR="00182152">
              <w:rPr>
                <w:rFonts w:cs="Times New Roman"/>
              </w:rPr>
              <w:t>№</w:t>
            </w:r>
            <w:proofErr w:type="gramEnd"/>
            <w:r w:rsidR="00182152">
              <w:t xml:space="preserve"> </w:t>
            </w:r>
            <w:r>
              <w:t>92</w:t>
            </w:r>
          </w:p>
          <w:p w:rsidR="00182152" w:rsidRDefault="00182152" w:rsidP="00682F1B">
            <w:pPr>
              <w:shd w:val="clear" w:color="auto" w:fill="FFFFFF"/>
              <w:spacing w:before="252" w:after="0"/>
              <w:jc w:val="center"/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</w:tc>
      </w:tr>
      <w:tr w:rsidR="00182152" w:rsidTr="006521F5">
        <w:trPr>
          <w:trHeight w:val="3387"/>
        </w:trPr>
        <w:tc>
          <w:tcPr>
            <w:tcW w:w="4518" w:type="dxa"/>
            <w:vMerge/>
            <w:shd w:val="clear" w:color="auto" w:fill="auto"/>
          </w:tcPr>
          <w:p w:rsidR="00182152" w:rsidRDefault="00182152" w:rsidP="0086358A">
            <w:pPr>
              <w:snapToGrid w:val="0"/>
              <w:ind w:right="1741"/>
              <w:jc w:val="center"/>
            </w:pPr>
          </w:p>
        </w:tc>
      </w:tr>
    </w:tbl>
    <w:p w:rsidR="00B0377B" w:rsidRPr="00B0377B" w:rsidRDefault="002C009A" w:rsidP="00B47479">
      <w:pPr>
        <w:spacing w:line="276" w:lineRule="auto"/>
        <w:ind w:left="142" w:right="5065"/>
        <w:rPr>
          <w:rFonts w:eastAsia="Calibri"/>
          <w:lang w:eastAsia="en-US"/>
        </w:rPr>
      </w:pPr>
      <w:r w:rsidRPr="00B0377B">
        <w:t xml:space="preserve">     </w:t>
      </w:r>
      <w:r w:rsidR="00B0377B" w:rsidRPr="00B0377B">
        <w:rPr>
          <w:rFonts w:eastAsia="Calibri"/>
          <w:lang w:eastAsia="en-US"/>
        </w:rPr>
        <w:t>Об утверждении перечня ключевых показателей эффективности</w:t>
      </w:r>
      <w:r w:rsidR="00B0377B">
        <w:rPr>
          <w:rFonts w:eastAsia="Calibri"/>
          <w:lang w:eastAsia="en-US"/>
        </w:rPr>
        <w:t xml:space="preserve"> </w:t>
      </w:r>
      <w:r w:rsidR="00B0377B" w:rsidRPr="00B0377B">
        <w:rPr>
          <w:rFonts w:eastAsia="Calibri"/>
          <w:lang w:eastAsia="en-US"/>
        </w:rPr>
        <w:t>функционирования антимонополь</w:t>
      </w:r>
      <w:r w:rsidR="00B0377B">
        <w:rPr>
          <w:rFonts w:eastAsia="Calibri"/>
          <w:lang w:eastAsia="en-US"/>
        </w:rPr>
        <w:t xml:space="preserve">ного </w:t>
      </w:r>
      <w:proofErr w:type="spellStart"/>
      <w:r w:rsidR="00B0377B">
        <w:rPr>
          <w:rFonts w:eastAsia="Calibri"/>
          <w:lang w:eastAsia="en-US"/>
        </w:rPr>
        <w:t>комплаенса</w:t>
      </w:r>
      <w:proofErr w:type="spellEnd"/>
      <w:r w:rsidR="00B0377B">
        <w:rPr>
          <w:rFonts w:eastAsia="Calibri"/>
          <w:lang w:eastAsia="en-US"/>
        </w:rPr>
        <w:t xml:space="preserve"> в </w:t>
      </w:r>
      <w:r w:rsidR="00B764FE">
        <w:rPr>
          <w:rFonts w:eastAsia="Calibri"/>
          <w:lang w:eastAsia="en-US"/>
        </w:rPr>
        <w:t>А</w:t>
      </w:r>
      <w:r w:rsidR="00B0377B">
        <w:rPr>
          <w:rFonts w:eastAsia="Calibri"/>
          <w:lang w:eastAsia="en-US"/>
        </w:rPr>
        <w:t xml:space="preserve">дминистрации </w:t>
      </w:r>
      <w:r w:rsidR="00B0377B" w:rsidRPr="00B0377B">
        <w:rPr>
          <w:rFonts w:eastAsia="Calibri"/>
          <w:lang w:eastAsia="en-US"/>
        </w:rPr>
        <w:t>муниципальног</w:t>
      </w:r>
      <w:r w:rsidR="00B0377B">
        <w:rPr>
          <w:rFonts w:eastAsia="Calibri"/>
          <w:lang w:eastAsia="en-US"/>
        </w:rPr>
        <w:t xml:space="preserve">о района Похвистневский </w:t>
      </w:r>
      <w:r w:rsidR="00B0377B" w:rsidRPr="00B0377B">
        <w:rPr>
          <w:rFonts w:eastAsia="Calibri"/>
          <w:lang w:eastAsia="en-US"/>
        </w:rPr>
        <w:t>Самарской области</w:t>
      </w:r>
      <w:r w:rsidR="00B764FE">
        <w:rPr>
          <w:rFonts w:eastAsia="Calibri"/>
          <w:lang w:eastAsia="en-US"/>
        </w:rPr>
        <w:t xml:space="preserve"> </w:t>
      </w:r>
      <w:r w:rsidR="00B0377B" w:rsidRPr="00B0377B">
        <w:rPr>
          <w:rFonts w:eastAsia="Calibri"/>
          <w:lang w:eastAsia="en-US"/>
        </w:rPr>
        <w:t>на 202</w:t>
      </w:r>
      <w:r w:rsidR="00C457CC">
        <w:rPr>
          <w:rFonts w:eastAsia="Calibri"/>
          <w:lang w:eastAsia="en-US"/>
        </w:rPr>
        <w:t>6</w:t>
      </w:r>
      <w:r w:rsidR="00B0377B" w:rsidRPr="00B0377B">
        <w:rPr>
          <w:rFonts w:eastAsia="Calibri"/>
          <w:lang w:eastAsia="en-US"/>
        </w:rPr>
        <w:t xml:space="preserve"> год</w:t>
      </w:r>
    </w:p>
    <w:p w:rsidR="00182152" w:rsidRDefault="00182152" w:rsidP="00B47479">
      <w:pPr>
        <w:tabs>
          <w:tab w:val="left" w:pos="567"/>
        </w:tabs>
        <w:suppressAutoHyphens/>
        <w:spacing w:line="276" w:lineRule="auto"/>
        <w:ind w:left="709"/>
        <w:rPr>
          <w:rFonts w:eastAsia="Times New Roman"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</w:p>
    <w:p w:rsidR="00B0377B" w:rsidRPr="00B0377B" w:rsidRDefault="002C009A" w:rsidP="00B47479">
      <w:pPr>
        <w:shd w:val="clear" w:color="auto" w:fill="FFFFFF"/>
        <w:spacing w:line="276" w:lineRule="auto"/>
        <w:ind w:left="7" w:firstLine="670"/>
        <w:rPr>
          <w:rFonts w:cs="Times New Roman"/>
          <w:sz w:val="28"/>
          <w:szCs w:val="28"/>
        </w:rPr>
      </w:pPr>
      <w:r w:rsidRPr="00B0377B">
        <w:rPr>
          <w:rFonts w:eastAsia="Times New Roman"/>
          <w:sz w:val="28"/>
          <w:szCs w:val="28"/>
        </w:rPr>
        <w:t>В соответствии с 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E920C9" w:rsidRPr="00B0377B">
        <w:rPr>
          <w:rFonts w:eastAsia="Times New Roman"/>
          <w:sz w:val="28"/>
          <w:szCs w:val="28"/>
        </w:rPr>
        <w:t>,</w:t>
      </w:r>
      <w:r w:rsidR="00B0377B" w:rsidRPr="00B0377B">
        <w:rPr>
          <w:sz w:val="28"/>
          <w:szCs w:val="28"/>
        </w:rPr>
        <w:t xml:space="preserve"> </w:t>
      </w:r>
      <w:r w:rsidR="00B0377B" w:rsidRPr="00B0377B">
        <w:rPr>
          <w:rFonts w:cs="Times New Roman"/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Федерации»,</w:t>
      </w:r>
      <w:r w:rsidR="00C457CC">
        <w:rPr>
          <w:rFonts w:cs="Times New Roman"/>
          <w:sz w:val="28"/>
          <w:szCs w:val="28"/>
        </w:rPr>
        <w:t xml:space="preserve"> </w:t>
      </w:r>
      <w:r w:rsidR="00C457CC" w:rsidRPr="002647D5">
        <w:rPr>
          <w:rFonts w:cs="Times New Roman"/>
          <w:sz w:val="28"/>
          <w:szCs w:val="28"/>
        </w:rPr>
        <w:t>Федераль</w:t>
      </w:r>
      <w:r w:rsidR="00C457CC">
        <w:rPr>
          <w:rFonts w:cs="Times New Roman"/>
          <w:sz w:val="28"/>
          <w:szCs w:val="28"/>
        </w:rPr>
        <w:t>ным законом от 20.03.2025 г. №</w:t>
      </w:r>
      <w:r w:rsidR="00C457CC" w:rsidRPr="002647D5">
        <w:rPr>
          <w:rFonts w:cs="Times New Roman"/>
          <w:sz w:val="28"/>
          <w:szCs w:val="28"/>
        </w:rPr>
        <w:t xml:space="preserve"> </w:t>
      </w:r>
      <w:r w:rsidR="00C457CC">
        <w:rPr>
          <w:rFonts w:cs="Times New Roman"/>
          <w:sz w:val="28"/>
          <w:szCs w:val="28"/>
        </w:rPr>
        <w:t>33</w:t>
      </w:r>
      <w:r w:rsidR="00C457CC" w:rsidRPr="002647D5">
        <w:rPr>
          <w:rFonts w:cs="Times New Roman"/>
          <w:sz w:val="28"/>
          <w:szCs w:val="28"/>
        </w:rPr>
        <w:t>-ФЗ «Об общих принципах организации местного самоуправления</w:t>
      </w:r>
      <w:r w:rsidR="00C457CC">
        <w:rPr>
          <w:rFonts w:cs="Times New Roman"/>
          <w:sz w:val="28"/>
          <w:szCs w:val="28"/>
        </w:rPr>
        <w:t xml:space="preserve"> в единой системе публичной власти</w:t>
      </w:r>
      <w:r w:rsidR="00C457CC" w:rsidRPr="002647D5">
        <w:rPr>
          <w:rFonts w:cs="Times New Roman"/>
          <w:sz w:val="28"/>
          <w:szCs w:val="28"/>
        </w:rPr>
        <w:t>»</w:t>
      </w:r>
      <w:r w:rsidR="00C457CC">
        <w:rPr>
          <w:rFonts w:cs="Times New Roman"/>
          <w:sz w:val="28"/>
          <w:szCs w:val="28"/>
        </w:rPr>
        <w:t>,</w:t>
      </w:r>
      <w:r w:rsidR="00B0377B" w:rsidRPr="00B0377B">
        <w:rPr>
          <w:rFonts w:cs="Times New Roman"/>
          <w:sz w:val="28"/>
          <w:szCs w:val="28"/>
        </w:rPr>
        <w:t xml:space="preserve"> Постановлением Администрации муниципального района Похвистневский Самарской области от 22.07.2019 № 493 (с изм. от 20.07.2023 №484а), руководствуясь Уставом района, Администрация муниципального района Похвистневский Самарской области</w:t>
      </w:r>
    </w:p>
    <w:p w:rsidR="00226010" w:rsidRPr="00B0377B" w:rsidRDefault="00226010" w:rsidP="00B47479">
      <w:pPr>
        <w:shd w:val="clear" w:color="auto" w:fill="FFFFFF"/>
        <w:spacing w:before="274" w:line="276" w:lineRule="auto"/>
        <w:ind w:left="677"/>
        <w:jc w:val="center"/>
        <w:rPr>
          <w:sz w:val="28"/>
          <w:szCs w:val="28"/>
        </w:rPr>
      </w:pPr>
      <w:r w:rsidRPr="00B0377B">
        <w:rPr>
          <w:rFonts w:eastAsia="Times New Roman"/>
          <w:sz w:val="28"/>
          <w:szCs w:val="28"/>
        </w:rPr>
        <w:t>ПОСТАНОВЛЯЕТ:</w:t>
      </w:r>
    </w:p>
    <w:p w:rsidR="006521F5" w:rsidRPr="00F63340" w:rsidRDefault="006521F5" w:rsidP="00B47479">
      <w:pPr>
        <w:spacing w:line="276" w:lineRule="auto"/>
        <w:ind w:firstLine="708"/>
        <w:rPr>
          <w:sz w:val="28"/>
          <w:szCs w:val="28"/>
        </w:rPr>
      </w:pPr>
      <w:r w:rsidRPr="00F63340">
        <w:rPr>
          <w:sz w:val="28"/>
          <w:szCs w:val="28"/>
        </w:rPr>
        <w:t>1.</w:t>
      </w:r>
      <w:r w:rsidRPr="00F63340">
        <w:rPr>
          <w:sz w:val="28"/>
          <w:szCs w:val="28"/>
        </w:rPr>
        <w:tab/>
        <w:t xml:space="preserve">Утвердить прилагаемый перечень ключевых показателей эффективности функционирования антимонопольного </w:t>
      </w:r>
      <w:proofErr w:type="spellStart"/>
      <w:r w:rsidRPr="00F63340">
        <w:rPr>
          <w:sz w:val="28"/>
          <w:szCs w:val="28"/>
        </w:rPr>
        <w:t>комплаенса</w:t>
      </w:r>
      <w:proofErr w:type="spellEnd"/>
      <w:r w:rsidRPr="00F63340">
        <w:rPr>
          <w:sz w:val="28"/>
          <w:szCs w:val="28"/>
        </w:rPr>
        <w:t xml:space="preserve"> в </w:t>
      </w:r>
      <w:r w:rsidR="00120F9B">
        <w:rPr>
          <w:sz w:val="28"/>
          <w:szCs w:val="28"/>
        </w:rPr>
        <w:t>А</w:t>
      </w:r>
      <w:r w:rsidRPr="00F63340">
        <w:rPr>
          <w:sz w:val="28"/>
          <w:szCs w:val="28"/>
        </w:rPr>
        <w:t xml:space="preserve">дминистрации муниципального района </w:t>
      </w:r>
      <w:r>
        <w:rPr>
          <w:sz w:val="28"/>
          <w:szCs w:val="28"/>
        </w:rPr>
        <w:t>Похвистневский Самарской области</w:t>
      </w:r>
      <w:r w:rsidR="00120F9B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C457CC">
        <w:rPr>
          <w:sz w:val="28"/>
          <w:szCs w:val="28"/>
        </w:rPr>
        <w:t>6</w:t>
      </w:r>
      <w:r w:rsidRPr="00F63340">
        <w:rPr>
          <w:sz w:val="28"/>
          <w:szCs w:val="28"/>
        </w:rPr>
        <w:t xml:space="preserve"> год.</w:t>
      </w:r>
    </w:p>
    <w:p w:rsidR="006521F5" w:rsidRDefault="006521F5" w:rsidP="00B47479">
      <w:pPr>
        <w:spacing w:line="276" w:lineRule="auto"/>
        <w:ind w:firstLine="708"/>
        <w:rPr>
          <w:sz w:val="28"/>
          <w:szCs w:val="28"/>
        </w:rPr>
      </w:pPr>
      <w:r w:rsidRPr="00F63340">
        <w:rPr>
          <w:sz w:val="28"/>
          <w:szCs w:val="28"/>
        </w:rPr>
        <w:t>2.</w:t>
      </w:r>
      <w:r w:rsidRPr="00F63340">
        <w:rPr>
          <w:sz w:val="28"/>
          <w:szCs w:val="28"/>
        </w:rPr>
        <w:tab/>
        <w:t xml:space="preserve">Муниципальным служащим </w:t>
      </w:r>
      <w:r w:rsidR="00120F9B">
        <w:rPr>
          <w:sz w:val="28"/>
          <w:szCs w:val="28"/>
        </w:rPr>
        <w:t>А</w:t>
      </w:r>
      <w:r w:rsidRPr="00F63340">
        <w:rPr>
          <w:sz w:val="28"/>
          <w:szCs w:val="28"/>
        </w:rPr>
        <w:t xml:space="preserve">дминистрации муниципального района </w:t>
      </w:r>
      <w:r>
        <w:rPr>
          <w:sz w:val="28"/>
          <w:szCs w:val="28"/>
        </w:rPr>
        <w:t>Похвистнев</w:t>
      </w:r>
      <w:r w:rsidRPr="00F63340">
        <w:rPr>
          <w:sz w:val="28"/>
          <w:szCs w:val="28"/>
        </w:rPr>
        <w:t>ский Самарской области</w:t>
      </w:r>
      <w:r w:rsidR="00120F9B">
        <w:rPr>
          <w:sz w:val="28"/>
          <w:szCs w:val="28"/>
        </w:rPr>
        <w:t xml:space="preserve"> </w:t>
      </w:r>
      <w:r w:rsidRPr="00F63340">
        <w:rPr>
          <w:sz w:val="28"/>
          <w:szCs w:val="28"/>
        </w:rPr>
        <w:t xml:space="preserve">обеспечить достижение ключевых показателей эффективности функционирования антимонопольного </w:t>
      </w:r>
      <w:proofErr w:type="spellStart"/>
      <w:r w:rsidRPr="00F63340">
        <w:rPr>
          <w:sz w:val="28"/>
          <w:szCs w:val="28"/>
        </w:rPr>
        <w:t>комплаенса</w:t>
      </w:r>
      <w:proofErr w:type="spellEnd"/>
      <w:r w:rsidRPr="00F63340">
        <w:rPr>
          <w:sz w:val="28"/>
          <w:szCs w:val="28"/>
        </w:rPr>
        <w:t xml:space="preserve"> в </w:t>
      </w:r>
      <w:r w:rsidR="005F404F">
        <w:rPr>
          <w:sz w:val="28"/>
          <w:szCs w:val="28"/>
        </w:rPr>
        <w:t>А</w:t>
      </w:r>
      <w:r w:rsidRPr="00F63340">
        <w:rPr>
          <w:sz w:val="28"/>
          <w:szCs w:val="28"/>
        </w:rPr>
        <w:t xml:space="preserve">дминистрации муниципального района </w:t>
      </w:r>
      <w:r>
        <w:rPr>
          <w:sz w:val="28"/>
          <w:szCs w:val="28"/>
        </w:rPr>
        <w:t>Похвистнев</w:t>
      </w:r>
      <w:r w:rsidR="000070FD">
        <w:rPr>
          <w:sz w:val="28"/>
          <w:szCs w:val="28"/>
        </w:rPr>
        <w:t>ский</w:t>
      </w:r>
      <w:r w:rsidRPr="00F63340">
        <w:rPr>
          <w:sz w:val="28"/>
          <w:szCs w:val="28"/>
        </w:rPr>
        <w:t xml:space="preserve"> Самарской области.</w:t>
      </w:r>
    </w:p>
    <w:p w:rsidR="006521F5" w:rsidRPr="00FE08B3" w:rsidRDefault="006521F5" w:rsidP="00B47479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E08B3">
        <w:rPr>
          <w:sz w:val="28"/>
          <w:szCs w:val="28"/>
        </w:rPr>
        <w:t>.</w:t>
      </w:r>
      <w:r>
        <w:rPr>
          <w:sz w:val="28"/>
          <w:szCs w:val="28"/>
        </w:rPr>
        <w:t xml:space="preserve"> Опубликовать настоящее постановл</w:t>
      </w:r>
      <w:r w:rsidRPr="00FE08B3">
        <w:rPr>
          <w:sz w:val="28"/>
          <w:szCs w:val="28"/>
        </w:rPr>
        <w:t xml:space="preserve">ение на сайте Администрации </w:t>
      </w:r>
      <w:r>
        <w:rPr>
          <w:sz w:val="28"/>
          <w:szCs w:val="28"/>
        </w:rPr>
        <w:t xml:space="preserve">муниципального района </w:t>
      </w:r>
      <w:r w:rsidR="00AD463E">
        <w:rPr>
          <w:sz w:val="28"/>
          <w:szCs w:val="28"/>
        </w:rPr>
        <w:t>Похвистнев</w:t>
      </w:r>
      <w:r>
        <w:rPr>
          <w:sz w:val="28"/>
          <w:szCs w:val="28"/>
        </w:rPr>
        <w:t>ский</w:t>
      </w:r>
      <w:r w:rsidRPr="00FE08B3">
        <w:rPr>
          <w:sz w:val="28"/>
          <w:szCs w:val="28"/>
        </w:rPr>
        <w:t xml:space="preserve"> Самарской области в сети Интернет.</w:t>
      </w:r>
    </w:p>
    <w:p w:rsidR="006521F5" w:rsidRPr="00FE08B3" w:rsidRDefault="006521F5" w:rsidP="00B47479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4. Настоящее постановл</w:t>
      </w:r>
      <w:r w:rsidRPr="00FE08B3">
        <w:rPr>
          <w:sz w:val="28"/>
          <w:szCs w:val="28"/>
        </w:rPr>
        <w:t>ение вступает в силу со дня его подписания.</w:t>
      </w:r>
    </w:p>
    <w:p w:rsidR="006521F5" w:rsidRPr="00FE08B3" w:rsidRDefault="006521F5" w:rsidP="00B47479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Pr="00FE08B3">
        <w:rPr>
          <w:sz w:val="28"/>
          <w:szCs w:val="28"/>
        </w:rPr>
        <w:t xml:space="preserve">. </w:t>
      </w:r>
      <w:r w:rsidR="005A141B" w:rsidRPr="002924C8">
        <w:rPr>
          <w:rFonts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5A141B">
        <w:rPr>
          <w:rFonts w:cs="Times New Roman"/>
          <w:sz w:val="28"/>
          <w:szCs w:val="28"/>
        </w:rPr>
        <w:t xml:space="preserve">первого </w:t>
      </w:r>
      <w:r w:rsidR="005A141B" w:rsidRPr="002924C8">
        <w:rPr>
          <w:rFonts w:cs="Times New Roman"/>
          <w:sz w:val="28"/>
          <w:szCs w:val="28"/>
        </w:rPr>
        <w:t>заместителя Главы района по экономике и финансам,</w:t>
      </w:r>
      <w:r w:rsidR="005A141B">
        <w:rPr>
          <w:rFonts w:cs="Times New Roman"/>
          <w:sz w:val="28"/>
          <w:szCs w:val="28"/>
        </w:rPr>
        <w:t xml:space="preserve"> руководителя контрактной службы</w:t>
      </w:r>
      <w:r w:rsidRPr="00FE08B3">
        <w:rPr>
          <w:sz w:val="28"/>
          <w:szCs w:val="28"/>
        </w:rPr>
        <w:t>.</w:t>
      </w:r>
    </w:p>
    <w:p w:rsidR="006521F5" w:rsidRPr="00FE08B3" w:rsidRDefault="006521F5" w:rsidP="00B47479">
      <w:pPr>
        <w:spacing w:line="276" w:lineRule="auto"/>
        <w:ind w:firstLine="708"/>
        <w:rPr>
          <w:sz w:val="28"/>
          <w:szCs w:val="28"/>
        </w:rPr>
      </w:pPr>
    </w:p>
    <w:p w:rsidR="00C04863" w:rsidRPr="00C04863" w:rsidRDefault="00C04863" w:rsidP="00B47479">
      <w:pPr>
        <w:shd w:val="clear" w:color="auto" w:fill="FFFFFF"/>
        <w:tabs>
          <w:tab w:val="left" w:pos="310"/>
        </w:tabs>
        <w:spacing w:before="14" w:line="276" w:lineRule="auto"/>
        <w:rPr>
          <w:rFonts w:eastAsia="Times New Roman"/>
          <w:sz w:val="26"/>
          <w:szCs w:val="26"/>
        </w:rPr>
      </w:pPr>
    </w:p>
    <w:p w:rsidR="00C04863" w:rsidRDefault="00C04863" w:rsidP="00B47479">
      <w:pPr>
        <w:shd w:val="clear" w:color="auto" w:fill="FFFFFF"/>
        <w:spacing w:line="276" w:lineRule="auto"/>
        <w:ind w:left="7" w:right="587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</w:t>
      </w:r>
    </w:p>
    <w:p w:rsidR="006521F5" w:rsidRDefault="006521F5" w:rsidP="00B47479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6521F5" w:rsidRDefault="006521F5" w:rsidP="00B47479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B47479" w:rsidRDefault="00B47479" w:rsidP="00815134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Pr="00AD463E" w:rsidRDefault="00AD463E" w:rsidP="00AD463E">
      <w:pPr>
        <w:shd w:val="clear" w:color="auto" w:fill="FFFFFF"/>
        <w:spacing w:line="276" w:lineRule="auto"/>
        <w:ind w:left="1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Глав</w:t>
      </w:r>
      <w:r w:rsidR="00C457CC">
        <w:rPr>
          <w:rFonts w:cs="Times New Roman"/>
          <w:b/>
          <w:bCs/>
          <w:sz w:val="28"/>
          <w:szCs w:val="28"/>
        </w:rPr>
        <w:t>а</w:t>
      </w:r>
      <w:r>
        <w:rPr>
          <w:rFonts w:cs="Times New Roman"/>
          <w:b/>
          <w:bCs/>
          <w:sz w:val="28"/>
          <w:szCs w:val="28"/>
        </w:rPr>
        <w:t xml:space="preserve"> района                                                                          </w:t>
      </w:r>
      <w:r w:rsidR="00C457CC">
        <w:rPr>
          <w:rFonts w:cs="Times New Roman"/>
          <w:b/>
          <w:bCs/>
          <w:sz w:val="28"/>
          <w:szCs w:val="28"/>
        </w:rPr>
        <w:t>А.В. Шахвалов</w:t>
      </w: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815134" w:rsidRDefault="00815134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815134" w:rsidRDefault="00815134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815134" w:rsidRDefault="00815134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815134" w:rsidRDefault="00815134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815134" w:rsidRDefault="00815134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815134" w:rsidRDefault="00815134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815134" w:rsidRDefault="00815134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AD463E" w:rsidRDefault="00AD463E" w:rsidP="00682F1B">
      <w:pPr>
        <w:shd w:val="clear" w:color="auto" w:fill="FFFFFF"/>
        <w:spacing w:line="276" w:lineRule="auto"/>
        <w:ind w:left="14"/>
        <w:jc w:val="right"/>
        <w:rPr>
          <w:rFonts w:ascii="Arial" w:hAnsi="Arial" w:cs="Arial"/>
          <w:b/>
          <w:bCs/>
          <w:sz w:val="22"/>
          <w:szCs w:val="22"/>
        </w:rPr>
      </w:pPr>
    </w:p>
    <w:p w:rsidR="00226010" w:rsidRPr="000F2FBE" w:rsidRDefault="00226010" w:rsidP="00B95DE7">
      <w:pPr>
        <w:shd w:val="clear" w:color="auto" w:fill="FFFFFF"/>
        <w:spacing w:after="0"/>
        <w:ind w:left="14"/>
        <w:jc w:val="right"/>
        <w:rPr>
          <w:rFonts w:eastAsia="Times New Roman" w:cs="Times New Roman"/>
          <w:spacing w:val="-19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                                                               </w:t>
      </w:r>
      <w:r w:rsidRPr="00FE47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FBE">
        <w:rPr>
          <w:rFonts w:eastAsia="Times New Roman" w:cs="Times New Roman"/>
          <w:spacing w:val="-19"/>
        </w:rPr>
        <w:t xml:space="preserve">Приложение </w:t>
      </w:r>
    </w:p>
    <w:p w:rsidR="00750808" w:rsidRPr="000F2FBE" w:rsidRDefault="00750808" w:rsidP="00B95DE7">
      <w:pPr>
        <w:shd w:val="clear" w:color="auto" w:fill="FFFFFF"/>
        <w:spacing w:after="0"/>
        <w:ind w:left="14"/>
        <w:jc w:val="right"/>
        <w:rPr>
          <w:rFonts w:eastAsia="Times New Roman" w:cs="Times New Roman"/>
          <w:spacing w:val="-19"/>
        </w:rPr>
      </w:pPr>
      <w:r w:rsidRPr="000F2FBE">
        <w:rPr>
          <w:rFonts w:eastAsia="Times New Roman" w:cs="Times New Roman"/>
          <w:spacing w:val="-19"/>
        </w:rPr>
        <w:t>Утверждено</w:t>
      </w:r>
    </w:p>
    <w:p w:rsidR="00226010" w:rsidRPr="000F2FBE" w:rsidRDefault="00226010" w:rsidP="00B95DE7">
      <w:pPr>
        <w:shd w:val="clear" w:color="auto" w:fill="FFFFFF"/>
        <w:spacing w:before="7" w:after="0"/>
        <w:ind w:right="7"/>
        <w:jc w:val="right"/>
        <w:rPr>
          <w:rFonts w:cs="Times New Roman"/>
        </w:rPr>
      </w:pPr>
      <w:r w:rsidRPr="000F2FBE">
        <w:rPr>
          <w:rFonts w:eastAsia="Times New Roman" w:cs="Times New Roman"/>
          <w:spacing w:val="-16"/>
        </w:rPr>
        <w:t xml:space="preserve"> Постановлени</w:t>
      </w:r>
      <w:r w:rsidR="00750808" w:rsidRPr="000F2FBE">
        <w:rPr>
          <w:rFonts w:eastAsia="Times New Roman" w:cs="Times New Roman"/>
          <w:spacing w:val="-16"/>
        </w:rPr>
        <w:t>ем</w:t>
      </w:r>
      <w:r w:rsidRPr="000F2FBE">
        <w:rPr>
          <w:rFonts w:eastAsia="Times New Roman" w:cs="Times New Roman"/>
          <w:spacing w:val="-16"/>
        </w:rPr>
        <w:t xml:space="preserve"> </w:t>
      </w:r>
      <w:r w:rsidR="00815134" w:rsidRPr="000F2FBE">
        <w:rPr>
          <w:rFonts w:eastAsia="Times New Roman" w:cs="Times New Roman"/>
          <w:spacing w:val="-16"/>
        </w:rPr>
        <w:t>Администрации муниципального</w:t>
      </w:r>
    </w:p>
    <w:p w:rsidR="00750808" w:rsidRPr="000F2FBE" w:rsidRDefault="00226010" w:rsidP="00B95DE7">
      <w:pPr>
        <w:shd w:val="clear" w:color="auto" w:fill="FFFFFF"/>
        <w:spacing w:after="0"/>
        <w:ind w:right="7"/>
        <w:jc w:val="right"/>
        <w:rPr>
          <w:rFonts w:eastAsia="Times New Roman" w:cs="Times New Roman"/>
          <w:spacing w:val="-16"/>
        </w:rPr>
      </w:pPr>
      <w:r w:rsidRPr="000F2FBE">
        <w:rPr>
          <w:rFonts w:eastAsia="Times New Roman" w:cs="Times New Roman"/>
          <w:spacing w:val="-15"/>
        </w:rPr>
        <w:t xml:space="preserve">района </w:t>
      </w:r>
      <w:r w:rsidRPr="000F2FBE">
        <w:rPr>
          <w:rFonts w:eastAsia="Times New Roman" w:cs="Times New Roman"/>
        </w:rPr>
        <w:t>Похвистневский</w:t>
      </w:r>
      <w:r w:rsidR="00750808" w:rsidRPr="000F2FBE">
        <w:rPr>
          <w:rFonts w:eastAsia="Times New Roman" w:cs="Times New Roman"/>
        </w:rPr>
        <w:t xml:space="preserve"> </w:t>
      </w:r>
      <w:r w:rsidRPr="000F2FBE">
        <w:rPr>
          <w:rFonts w:eastAsia="Times New Roman" w:cs="Times New Roman"/>
          <w:spacing w:val="-16"/>
        </w:rPr>
        <w:t>Самарской области</w:t>
      </w:r>
    </w:p>
    <w:p w:rsidR="00226010" w:rsidRDefault="00750808" w:rsidP="00B95DE7">
      <w:pPr>
        <w:shd w:val="clear" w:color="auto" w:fill="FFFFFF"/>
        <w:spacing w:after="0"/>
        <w:ind w:right="7"/>
        <w:jc w:val="right"/>
        <w:rPr>
          <w:rFonts w:eastAsia="Times New Roman" w:cs="Times New Roman"/>
          <w:spacing w:val="-16"/>
        </w:rPr>
      </w:pPr>
      <w:r w:rsidRPr="000F2FBE">
        <w:rPr>
          <w:rFonts w:eastAsia="Times New Roman" w:cs="Times New Roman"/>
          <w:spacing w:val="-16"/>
        </w:rPr>
        <w:t xml:space="preserve"> </w:t>
      </w:r>
      <w:r w:rsidR="00D1392C" w:rsidRPr="000F2FBE">
        <w:rPr>
          <w:rFonts w:eastAsia="Times New Roman" w:cs="Times New Roman"/>
          <w:spacing w:val="-16"/>
        </w:rPr>
        <w:t xml:space="preserve">                                                                                                                                             </w:t>
      </w:r>
      <w:r w:rsidR="00815134">
        <w:rPr>
          <w:rFonts w:cs="Times New Roman"/>
        </w:rPr>
        <w:t>09.02.2026 № 92</w:t>
      </w:r>
    </w:p>
    <w:p w:rsidR="000F2FBE" w:rsidRDefault="000F2FBE" w:rsidP="00682F1B">
      <w:pPr>
        <w:shd w:val="clear" w:color="auto" w:fill="FFFFFF"/>
        <w:spacing w:line="276" w:lineRule="auto"/>
        <w:ind w:right="7"/>
        <w:jc w:val="right"/>
        <w:rPr>
          <w:rFonts w:eastAsia="Times New Roman" w:cs="Times New Roman"/>
          <w:spacing w:val="-16"/>
        </w:rPr>
      </w:pPr>
    </w:p>
    <w:p w:rsidR="00ED62C7" w:rsidRPr="00687EAA" w:rsidRDefault="00ED62C7" w:rsidP="005F404F">
      <w:pPr>
        <w:ind w:left="714" w:hanging="357"/>
        <w:jc w:val="center"/>
        <w:rPr>
          <w:b/>
          <w:lang w:eastAsia="en-US"/>
        </w:rPr>
      </w:pPr>
      <w:r w:rsidRPr="00687EAA">
        <w:rPr>
          <w:rFonts w:eastAsia="Calibri"/>
          <w:b/>
          <w:lang w:eastAsia="en-US"/>
        </w:rPr>
        <w:t>Перечень ключевых показателей эффективности функционирования</w:t>
      </w:r>
      <w:r w:rsidR="005F404F">
        <w:rPr>
          <w:b/>
          <w:lang w:eastAsia="en-US"/>
        </w:rPr>
        <w:t xml:space="preserve"> антимонопольного </w:t>
      </w:r>
      <w:proofErr w:type="spellStart"/>
      <w:r w:rsidR="005F404F">
        <w:rPr>
          <w:b/>
          <w:lang w:eastAsia="en-US"/>
        </w:rPr>
        <w:t>комплаенса</w:t>
      </w:r>
      <w:proofErr w:type="spellEnd"/>
      <w:r w:rsidR="005F404F">
        <w:rPr>
          <w:b/>
          <w:lang w:eastAsia="en-US"/>
        </w:rPr>
        <w:t xml:space="preserve"> </w:t>
      </w:r>
      <w:r w:rsidRPr="00687EAA">
        <w:rPr>
          <w:b/>
          <w:lang w:eastAsia="en-US"/>
        </w:rPr>
        <w:t xml:space="preserve">в </w:t>
      </w:r>
      <w:r w:rsidR="005F404F">
        <w:rPr>
          <w:b/>
          <w:lang w:eastAsia="en-US"/>
        </w:rPr>
        <w:t>А</w:t>
      </w:r>
      <w:r w:rsidRPr="00687EAA">
        <w:rPr>
          <w:b/>
          <w:lang w:eastAsia="en-US"/>
        </w:rPr>
        <w:t xml:space="preserve">дминистрации муниципального района </w:t>
      </w:r>
      <w:r w:rsidR="005F404F">
        <w:rPr>
          <w:b/>
          <w:lang w:eastAsia="en-US"/>
        </w:rPr>
        <w:t>Похвистнев</w:t>
      </w:r>
      <w:r w:rsidRPr="00687EAA">
        <w:rPr>
          <w:b/>
          <w:lang w:eastAsia="en-US"/>
        </w:rPr>
        <w:t xml:space="preserve">ский </w:t>
      </w:r>
      <w:r>
        <w:rPr>
          <w:b/>
          <w:lang w:eastAsia="en-US"/>
        </w:rPr>
        <w:t>Самарской области</w:t>
      </w:r>
      <w:r w:rsidR="005F404F">
        <w:rPr>
          <w:b/>
          <w:lang w:eastAsia="en-US"/>
        </w:rPr>
        <w:t xml:space="preserve"> </w:t>
      </w:r>
      <w:r>
        <w:rPr>
          <w:b/>
          <w:lang w:eastAsia="en-US"/>
        </w:rPr>
        <w:t>на 202</w:t>
      </w:r>
      <w:r w:rsidR="00C457CC">
        <w:rPr>
          <w:b/>
          <w:lang w:eastAsia="en-US"/>
        </w:rPr>
        <w:t>6</w:t>
      </w:r>
      <w:r w:rsidRPr="00687EAA">
        <w:rPr>
          <w:b/>
          <w:lang w:eastAsia="en-US"/>
        </w:rPr>
        <w:t xml:space="preserve"> год</w:t>
      </w:r>
    </w:p>
    <w:p w:rsidR="00ED62C7" w:rsidRPr="00687EAA" w:rsidRDefault="00ED62C7" w:rsidP="00ED62C7">
      <w:pPr>
        <w:ind w:left="714" w:hanging="357"/>
        <w:jc w:val="center"/>
        <w:rPr>
          <w:b/>
          <w:lang w:eastAsia="en-US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1625"/>
        <w:gridCol w:w="6215"/>
      </w:tblGrid>
      <w:tr w:rsidR="00ED62C7" w:rsidRPr="00687EAA" w:rsidTr="00ED62C7">
        <w:trPr>
          <w:trHeight w:hRule="exact" w:val="1004"/>
          <w:tblHeader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C7" w:rsidRPr="00687EAA" w:rsidRDefault="00ED62C7" w:rsidP="00F31C9E">
            <w:pPr>
              <w:autoSpaceDE w:val="0"/>
              <w:jc w:val="center"/>
              <w:rPr>
                <w:lang w:eastAsia="en-US"/>
              </w:rPr>
            </w:pPr>
            <w:r w:rsidRPr="00687EAA">
              <w:rPr>
                <w:rFonts w:eastAsia="Calibri"/>
                <w:b/>
                <w:lang w:eastAsia="en-US"/>
              </w:rPr>
              <w:t>Наименование показателя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C7" w:rsidRPr="00687EAA" w:rsidRDefault="00ED62C7" w:rsidP="00F31C9E">
            <w:pPr>
              <w:autoSpaceDE w:val="0"/>
              <w:ind w:left="3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Целевое значение на 202</w:t>
            </w:r>
            <w:r w:rsidR="00C457CC">
              <w:rPr>
                <w:rFonts w:eastAsia="Calibri"/>
                <w:b/>
                <w:lang w:eastAsia="en-US"/>
              </w:rPr>
              <w:t>6</w:t>
            </w:r>
            <w:r w:rsidRPr="00687EAA">
              <w:rPr>
                <w:rFonts w:eastAsia="Calibri"/>
                <w:b/>
                <w:lang w:eastAsia="en-US"/>
              </w:rPr>
              <w:t xml:space="preserve"> год</w:t>
            </w:r>
          </w:p>
          <w:p w:rsidR="00ED62C7" w:rsidRPr="00687EAA" w:rsidRDefault="00ED62C7" w:rsidP="00F31C9E">
            <w:pPr>
              <w:autoSpaceDE w:val="0"/>
              <w:ind w:left="714" w:hanging="357"/>
              <w:jc w:val="center"/>
              <w:rPr>
                <w:b/>
                <w:lang w:eastAsia="en-US"/>
              </w:rPr>
            </w:pP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C7" w:rsidRPr="00687EAA" w:rsidRDefault="00ED62C7" w:rsidP="00F31C9E">
            <w:pPr>
              <w:jc w:val="center"/>
              <w:rPr>
                <w:b/>
                <w:lang w:eastAsia="en-US"/>
              </w:rPr>
            </w:pPr>
            <w:r w:rsidRPr="00687EAA">
              <w:rPr>
                <w:rFonts w:eastAsia="Calibri"/>
                <w:b/>
                <w:lang w:eastAsia="en-US"/>
              </w:rPr>
              <w:t>Методика расчета</w:t>
            </w:r>
          </w:p>
        </w:tc>
      </w:tr>
      <w:tr w:rsidR="00ED62C7" w:rsidRPr="00687EAA" w:rsidTr="00ED62C7">
        <w:trPr>
          <w:trHeight w:val="6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C7" w:rsidRPr="00687EAA" w:rsidRDefault="00ED62C7" w:rsidP="006D04EE">
            <w:pPr>
              <w:autoSpaceDE w:val="0"/>
              <w:ind w:left="34"/>
              <w:jc w:val="center"/>
              <w:rPr>
                <w:lang w:eastAsia="en-US"/>
              </w:rPr>
            </w:pPr>
            <w:r w:rsidRPr="00687EAA">
              <w:rPr>
                <w:lang w:eastAsia="en-US"/>
              </w:rPr>
              <w:t xml:space="preserve">Для </w:t>
            </w:r>
            <w:r w:rsidR="006D04EE">
              <w:rPr>
                <w:lang w:eastAsia="en-US"/>
              </w:rPr>
              <w:t>А</w:t>
            </w:r>
            <w:r w:rsidRPr="00687EAA">
              <w:rPr>
                <w:lang w:eastAsia="en-US"/>
              </w:rPr>
              <w:t xml:space="preserve">дминистрации муниципального района </w:t>
            </w:r>
            <w:r w:rsidR="006D04EE">
              <w:rPr>
                <w:lang w:eastAsia="en-US"/>
              </w:rPr>
              <w:t>Похвистнев</w:t>
            </w:r>
            <w:r w:rsidRPr="00687EAA">
              <w:rPr>
                <w:lang w:eastAsia="en-US"/>
              </w:rPr>
              <w:t>ский</w:t>
            </w:r>
            <w:r w:rsidRPr="00687EAA">
              <w:rPr>
                <w:rFonts w:eastAsia="Calibri"/>
                <w:lang w:eastAsia="en-US"/>
              </w:rPr>
              <w:t xml:space="preserve"> Самарской области </w:t>
            </w:r>
          </w:p>
        </w:tc>
      </w:tr>
      <w:tr w:rsidR="00ED62C7" w:rsidRPr="00687EAA" w:rsidTr="00ED62C7">
        <w:trPr>
          <w:trHeight w:val="84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Pr="00687EAA" w:rsidRDefault="00ED62C7" w:rsidP="00D35268">
            <w:pPr>
              <w:jc w:val="center"/>
              <w:rPr>
                <w:rFonts w:eastAsia="Calibri"/>
                <w:lang w:eastAsia="en-US"/>
              </w:rPr>
            </w:pPr>
            <w:r w:rsidRPr="00687EAA">
              <w:rPr>
                <w:rFonts w:eastAsia="Calibri"/>
                <w:lang w:eastAsia="en-US"/>
              </w:rPr>
              <w:t xml:space="preserve">Коэффициент снижения количества нарушений антимонопольного законодательства со стороны </w:t>
            </w:r>
            <w:r w:rsidR="00D35268">
              <w:rPr>
                <w:rFonts w:eastAsia="Calibri"/>
                <w:lang w:eastAsia="en-US"/>
              </w:rPr>
              <w:t>А</w:t>
            </w:r>
            <w:r w:rsidRPr="00687EAA">
              <w:rPr>
                <w:rFonts w:eastAsia="Calibri"/>
                <w:lang w:eastAsia="en-US"/>
              </w:rPr>
              <w:t xml:space="preserve">дминистрации муниципального района </w:t>
            </w:r>
            <w:r w:rsidR="00D35268">
              <w:rPr>
                <w:rFonts w:eastAsia="Calibri"/>
                <w:lang w:eastAsia="en-US"/>
              </w:rPr>
              <w:t>Похвистнев</w:t>
            </w:r>
            <w:r w:rsidRPr="00687EAA">
              <w:rPr>
                <w:rFonts w:eastAsia="Calibri"/>
                <w:lang w:eastAsia="en-US"/>
              </w:rPr>
              <w:t>ский Самарской области</w:t>
            </w:r>
            <w:r>
              <w:rPr>
                <w:rFonts w:eastAsia="Calibri"/>
                <w:lang w:eastAsia="en-US"/>
              </w:rPr>
              <w:t>, в том числе ее отраслевых (функциональных) органов</w:t>
            </w:r>
            <w:r w:rsidRPr="00687EAA">
              <w:rPr>
                <w:rFonts w:eastAsia="Calibri"/>
                <w:lang w:eastAsia="en-US"/>
              </w:rPr>
              <w:t xml:space="preserve"> (далее – Администрация), единиц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Pr="00687EAA" w:rsidRDefault="00ED62C7" w:rsidP="00F31C9E">
            <w:pPr>
              <w:jc w:val="center"/>
              <w:rPr>
                <w:lang w:eastAsia="en-US"/>
              </w:rPr>
            </w:pPr>
            <w:r w:rsidRPr="00687EAA">
              <w:rPr>
                <w:lang w:eastAsia="en-US"/>
              </w:rPr>
              <w:t>1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r w:rsidRPr="00687EAA">
              <w:rPr>
                <w:lang w:eastAsia="en-US"/>
              </w:rPr>
              <w:t>Показатель рассчитывается по формуле:</w:t>
            </w: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r w:rsidRPr="00687EAA">
              <w:rPr>
                <w:lang w:eastAsia="en-US"/>
              </w:rPr>
              <w:t>КСН =</w:t>
            </w:r>
            <w:r>
              <w:t xml:space="preserve"> </w:t>
            </w:r>
            <w:proofErr w:type="spellStart"/>
            <w:r>
              <w:t>КНп</w:t>
            </w:r>
            <w:proofErr w:type="spellEnd"/>
            <w:r>
              <w:t xml:space="preserve"> г/</w:t>
            </w:r>
            <w:proofErr w:type="spellStart"/>
            <w:r>
              <w:t>КНо</w:t>
            </w:r>
            <w:proofErr w:type="spellEnd"/>
            <w:r>
              <w:t xml:space="preserve"> п</w:t>
            </w:r>
            <w:r w:rsidRPr="00687EAA">
              <w:rPr>
                <w:lang w:eastAsia="en-US"/>
              </w:rPr>
              <w:t xml:space="preserve">, где: </w:t>
            </w: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r w:rsidRPr="00687EAA">
              <w:rPr>
                <w:lang w:eastAsia="en-US"/>
              </w:rPr>
              <w:t xml:space="preserve">КСН – коэффициент снижения количества нарушений антимонопольного законодательства со </w:t>
            </w:r>
            <w:bookmarkStart w:id="0" w:name="_GoBack"/>
            <w:bookmarkEnd w:id="0"/>
            <w:r w:rsidR="00815134" w:rsidRPr="00687EAA">
              <w:rPr>
                <w:lang w:eastAsia="en-US"/>
              </w:rPr>
              <w:t>стороны Администрации</w:t>
            </w:r>
            <w:r w:rsidRPr="00687EAA">
              <w:rPr>
                <w:lang w:eastAsia="en-US"/>
              </w:rPr>
              <w:t xml:space="preserve"> по сравнению с 202</w:t>
            </w:r>
            <w:r w:rsidR="00232292">
              <w:rPr>
                <w:lang w:eastAsia="en-US"/>
              </w:rPr>
              <w:t>4</w:t>
            </w:r>
            <w:r w:rsidRPr="00687EAA">
              <w:rPr>
                <w:lang w:eastAsia="en-US"/>
              </w:rPr>
              <w:t xml:space="preserve"> годом;</w:t>
            </w: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 w:rsidRPr="00687EAA">
              <w:rPr>
                <w:lang w:eastAsia="en-US"/>
              </w:rPr>
              <w:t>КН</w:t>
            </w:r>
            <w:r>
              <w:rPr>
                <w:vertAlign w:val="subscript"/>
                <w:lang w:eastAsia="en-US"/>
              </w:rPr>
              <w:t>п</w:t>
            </w:r>
            <w:proofErr w:type="spellEnd"/>
            <w:r>
              <w:rPr>
                <w:vertAlign w:val="subscript"/>
                <w:lang w:eastAsia="en-US"/>
              </w:rPr>
              <w:t xml:space="preserve"> г</w:t>
            </w:r>
            <w:r w:rsidRPr="00687EAA">
              <w:rPr>
                <w:vertAlign w:val="subscript"/>
                <w:lang w:eastAsia="en-US"/>
              </w:rPr>
              <w:t xml:space="preserve"> </w:t>
            </w:r>
            <w:r w:rsidRPr="00687EAA">
              <w:rPr>
                <w:lang w:eastAsia="en-US"/>
              </w:rPr>
              <w:t xml:space="preserve">– количество нарушений антимонопольного законодательства со стороны Администрации </w:t>
            </w:r>
            <w:r>
              <w:rPr>
                <w:lang w:eastAsia="en-US"/>
              </w:rPr>
              <w:t>за предыдущий год (</w:t>
            </w:r>
            <w:r w:rsidRPr="00687EAA">
              <w:rPr>
                <w:lang w:eastAsia="en-US"/>
              </w:rPr>
              <w:t>в 202</w:t>
            </w:r>
            <w:r w:rsidR="00232292">
              <w:rPr>
                <w:lang w:eastAsia="en-US"/>
              </w:rPr>
              <w:t>4</w:t>
            </w:r>
            <w:r w:rsidRPr="00687EAA">
              <w:rPr>
                <w:lang w:eastAsia="en-US"/>
              </w:rPr>
              <w:t xml:space="preserve"> году</w:t>
            </w:r>
            <w:r>
              <w:rPr>
                <w:lang w:eastAsia="en-US"/>
              </w:rPr>
              <w:t>)</w:t>
            </w:r>
            <w:r w:rsidRPr="00687EAA">
              <w:rPr>
                <w:lang w:eastAsia="en-US"/>
              </w:rPr>
              <w:t>;</w:t>
            </w: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 w:rsidRPr="00687EAA">
              <w:rPr>
                <w:lang w:eastAsia="en-US"/>
              </w:rPr>
              <w:t>КНоп</w:t>
            </w:r>
            <w:proofErr w:type="spellEnd"/>
            <w:r w:rsidRPr="00687EAA">
              <w:rPr>
                <w:lang w:eastAsia="en-US"/>
              </w:rPr>
              <w:t xml:space="preserve"> – количество нарушений антимонопольного законодательства со стороны Администрации в отчетном периоде</w:t>
            </w:r>
          </w:p>
        </w:tc>
      </w:tr>
      <w:tr w:rsidR="00ED62C7" w:rsidRPr="00687EAA" w:rsidTr="00ED62C7">
        <w:trPr>
          <w:trHeight w:val="3096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Pr="00687EAA" w:rsidRDefault="00ED62C7" w:rsidP="00F31C9E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687EAA">
              <w:rPr>
                <w:rFonts w:eastAsia="Calibri"/>
                <w:lang w:eastAsia="en-US"/>
              </w:rPr>
              <w:t xml:space="preserve">Доля </w:t>
            </w:r>
            <w:r>
              <w:rPr>
                <w:rFonts w:eastAsia="Calibri"/>
                <w:lang w:eastAsia="en-US"/>
              </w:rPr>
              <w:t xml:space="preserve">проектов муниципальных </w:t>
            </w:r>
            <w:r w:rsidRPr="00687EAA">
              <w:rPr>
                <w:rFonts w:eastAsia="Calibri"/>
                <w:lang w:eastAsia="en-US"/>
              </w:rPr>
              <w:t>нормативных правовых актов Администрации, в которых выявлены риски нарушения антимонопольного законодательства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Pr="00687EAA" w:rsidRDefault="00ED62C7" w:rsidP="00F31C9E">
            <w:pPr>
              <w:jc w:val="center"/>
              <w:rPr>
                <w:lang w:eastAsia="en-US"/>
              </w:rPr>
            </w:pPr>
            <w:r w:rsidRPr="00687EAA">
              <w:rPr>
                <w:lang w:eastAsia="en-US"/>
              </w:rPr>
              <w:t>0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r w:rsidRPr="00687EAA">
              <w:rPr>
                <w:lang w:eastAsia="en-US"/>
              </w:rPr>
              <w:t>Показатель рассчитывается по формуле:</w:t>
            </w: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>
              <w:t>Дпмнпа</w:t>
            </w:r>
            <w:proofErr w:type="spellEnd"/>
            <w:r>
              <w:t xml:space="preserve"> = </w:t>
            </w:r>
            <w:proofErr w:type="spellStart"/>
            <w:r>
              <w:t>Кпнпа</w:t>
            </w:r>
            <w:proofErr w:type="spellEnd"/>
            <w:r>
              <w:t xml:space="preserve"> / Кноп, </w:t>
            </w:r>
            <w:r w:rsidRPr="00687EAA">
              <w:rPr>
                <w:lang w:eastAsia="en-US"/>
              </w:rPr>
              <w:t>где:</w:t>
            </w: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 w:rsidRPr="00687EAA">
              <w:rPr>
                <w:lang w:eastAsia="en-US"/>
              </w:rPr>
              <w:t>Д</w:t>
            </w:r>
            <w:r>
              <w:rPr>
                <w:lang w:eastAsia="en-US"/>
              </w:rPr>
              <w:t>пм</w:t>
            </w:r>
            <w:r w:rsidRPr="00687EAA">
              <w:rPr>
                <w:lang w:eastAsia="en-US"/>
              </w:rPr>
              <w:t>нпа</w:t>
            </w:r>
            <w:proofErr w:type="spellEnd"/>
            <w:r w:rsidRPr="00687EAA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>д</w:t>
            </w:r>
            <w:r w:rsidRPr="004033F6">
              <w:rPr>
                <w:lang w:eastAsia="en-US"/>
              </w:rPr>
              <w:t>оля проектов муниципальных нормативных правовых актов Администрации, в которых выявлены риски нарушения антимонопольного законодательства</w:t>
            </w:r>
            <w:r w:rsidRPr="00687EAA">
              <w:rPr>
                <w:lang w:eastAsia="en-US"/>
              </w:rPr>
              <w:t>;</w:t>
            </w: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 w:rsidRPr="004033F6">
              <w:rPr>
                <w:lang w:eastAsia="en-US"/>
              </w:rPr>
              <w:t>Кпнпа</w:t>
            </w:r>
            <w:proofErr w:type="spellEnd"/>
            <w:r w:rsidRPr="004033F6">
              <w:rPr>
                <w:lang w:eastAsia="en-US"/>
              </w:rPr>
              <w:t xml:space="preserve"> – количество проектов муниципальных нормативных правовых актов, в которых уполномоченными органами выявлены риски нарушения антимонопольного законодательства (в отчетном периоде);</w:t>
            </w:r>
          </w:p>
          <w:p w:rsidR="00ED62C7" w:rsidRPr="00687EAA" w:rsidRDefault="00ED62C7" w:rsidP="00F31C9E">
            <w:pPr>
              <w:ind w:firstLine="318"/>
              <w:rPr>
                <w:rFonts w:ascii="Calibri" w:eastAsia="Calibri" w:hAnsi="Calibri"/>
                <w:lang w:eastAsia="en-US"/>
              </w:rPr>
            </w:pPr>
            <w:proofErr w:type="spellStart"/>
            <w:r w:rsidRPr="004033F6">
              <w:rPr>
                <w:lang w:eastAsia="en-US"/>
              </w:rPr>
              <w:t>Кнон</w:t>
            </w:r>
            <w:proofErr w:type="spellEnd"/>
            <w:r w:rsidRPr="004033F6">
              <w:rPr>
                <w:lang w:eastAsia="en-US"/>
              </w:rPr>
              <w:t xml:space="preserve"> – общее количество проектов муниципальных нормативных правовых актов, принятых в отчетном периоде</w:t>
            </w:r>
            <w:r w:rsidRPr="004033F6">
              <w:rPr>
                <w:rFonts w:eastAsia="Calibri"/>
                <w:lang w:eastAsia="en-US"/>
              </w:rPr>
              <w:t xml:space="preserve"> </w:t>
            </w:r>
          </w:p>
        </w:tc>
      </w:tr>
      <w:tr w:rsidR="00ED62C7" w:rsidRPr="00687EAA" w:rsidTr="00ED62C7">
        <w:trPr>
          <w:trHeight w:val="112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Pr="00687EAA" w:rsidRDefault="00ED62C7" w:rsidP="00F31C9E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687EAA">
              <w:rPr>
                <w:rFonts w:eastAsia="Calibri"/>
                <w:lang w:eastAsia="en-US"/>
              </w:rPr>
              <w:t xml:space="preserve">Доля нормативных правовых актов Администрации, в которых </w:t>
            </w:r>
            <w:r w:rsidRPr="00687EAA">
              <w:rPr>
                <w:rFonts w:eastAsia="Calibri"/>
                <w:lang w:eastAsia="en-US"/>
              </w:rPr>
              <w:lastRenderedPageBreak/>
              <w:t>антимонопольным органом выявлены риски нарушения антимонопольного законодательства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Pr="00687EAA" w:rsidRDefault="00ED62C7" w:rsidP="00F31C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r w:rsidRPr="00687EAA">
              <w:rPr>
                <w:lang w:eastAsia="en-US"/>
              </w:rPr>
              <w:t>Показатель рассчитывается по формуле:</w:t>
            </w: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>
              <w:t>Дмнпа</w:t>
            </w:r>
            <w:proofErr w:type="spellEnd"/>
            <w:r>
              <w:t xml:space="preserve"> = </w:t>
            </w:r>
            <w:proofErr w:type="spellStart"/>
            <w:r>
              <w:t>Кнпа</w:t>
            </w:r>
            <w:proofErr w:type="spellEnd"/>
            <w:r>
              <w:t xml:space="preserve"> / Кноп</w:t>
            </w:r>
            <w:r w:rsidRPr="00687EAA">
              <w:rPr>
                <w:lang w:eastAsia="en-US"/>
              </w:rPr>
              <w:t>, где:</w:t>
            </w: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 w:rsidRPr="00687EAA">
              <w:rPr>
                <w:lang w:eastAsia="en-US"/>
              </w:rPr>
              <w:lastRenderedPageBreak/>
              <w:t>Д</w:t>
            </w:r>
            <w:r>
              <w:rPr>
                <w:lang w:eastAsia="en-US"/>
              </w:rPr>
              <w:t>м</w:t>
            </w:r>
            <w:r w:rsidRPr="00687EAA">
              <w:rPr>
                <w:lang w:eastAsia="en-US"/>
              </w:rPr>
              <w:t>нпа</w:t>
            </w:r>
            <w:proofErr w:type="spellEnd"/>
            <w:r w:rsidRPr="00687EAA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>доля</w:t>
            </w:r>
            <w:r w:rsidRPr="004033F6">
              <w:rPr>
                <w:lang w:eastAsia="en-US"/>
              </w:rPr>
              <w:t xml:space="preserve"> муниципальных нормативных правовых актов Администрации, в которых выявлены риски нарушения антимонопольного законодательства</w:t>
            </w:r>
            <w:r w:rsidRPr="00687EAA">
              <w:rPr>
                <w:lang w:eastAsia="en-US"/>
              </w:rPr>
              <w:t>;</w:t>
            </w: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Кнпа</w:t>
            </w:r>
            <w:proofErr w:type="spellEnd"/>
            <w:r>
              <w:rPr>
                <w:lang w:eastAsia="en-US"/>
              </w:rPr>
              <w:t xml:space="preserve"> – количество</w:t>
            </w:r>
            <w:r w:rsidRPr="004033F6">
              <w:rPr>
                <w:lang w:eastAsia="en-US"/>
              </w:rPr>
              <w:t xml:space="preserve"> муниципальных нормативных правовых актов, в которых </w:t>
            </w:r>
            <w:r>
              <w:rPr>
                <w:lang w:eastAsia="en-US"/>
              </w:rPr>
              <w:t>организационно-правовым отделом администрации</w:t>
            </w:r>
            <w:r w:rsidRPr="004033F6">
              <w:rPr>
                <w:lang w:eastAsia="en-US"/>
              </w:rPr>
              <w:t xml:space="preserve"> выявлены риски нарушения антимонопольного законодательства (в отчетном периоде);</w:t>
            </w: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Кнон</w:t>
            </w:r>
            <w:proofErr w:type="spellEnd"/>
            <w:r>
              <w:rPr>
                <w:lang w:eastAsia="en-US"/>
              </w:rPr>
              <w:t xml:space="preserve"> – общее количество</w:t>
            </w:r>
            <w:r w:rsidRPr="004033F6">
              <w:rPr>
                <w:lang w:eastAsia="en-US"/>
              </w:rPr>
              <w:t xml:space="preserve"> муниципальных нормативных правовых актов, принятых в отчетном периоде</w:t>
            </w:r>
          </w:p>
        </w:tc>
      </w:tr>
      <w:tr w:rsidR="00ED62C7" w:rsidRPr="00687EAA" w:rsidTr="00ED62C7">
        <w:trPr>
          <w:trHeight w:val="112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C7" w:rsidRPr="00687EAA" w:rsidRDefault="00ED62C7" w:rsidP="00F31C9E">
            <w:pPr>
              <w:jc w:val="center"/>
              <w:rPr>
                <w:rFonts w:eastAsia="Calibri"/>
                <w:lang w:eastAsia="en-US"/>
              </w:rPr>
            </w:pPr>
            <w:r w:rsidRPr="007D1820">
              <w:rPr>
                <w:rFonts w:eastAsia="Calibri"/>
                <w:lang w:eastAsia="en-US"/>
              </w:rPr>
              <w:lastRenderedPageBreak/>
              <w:t xml:space="preserve">Доля сотрудников Администрации,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7D1820">
              <w:rPr>
                <w:rFonts w:eastAsia="Calibri"/>
                <w:lang w:eastAsia="en-US"/>
              </w:rPr>
              <w:t>комплаенсу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C7" w:rsidRDefault="00ED62C7" w:rsidP="00F31C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C7" w:rsidRDefault="00ED62C7" w:rsidP="00F31C9E">
            <w:pPr>
              <w:ind w:firstLine="318"/>
              <w:rPr>
                <w:lang w:eastAsia="en-US"/>
              </w:rPr>
            </w:pPr>
            <w:r>
              <w:rPr>
                <w:lang w:eastAsia="en-US"/>
              </w:rPr>
              <w:t>Показатель рассчитывается по формуле:</w:t>
            </w:r>
          </w:p>
          <w:p w:rsidR="00ED62C7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ДСо</w:t>
            </w:r>
            <w:proofErr w:type="spellEnd"/>
            <w:r>
              <w:rPr>
                <w:lang w:eastAsia="en-US"/>
              </w:rPr>
              <w:t xml:space="preserve"> = </w:t>
            </w:r>
            <w:proofErr w:type="spellStart"/>
            <w:r w:rsidRPr="007D1820">
              <w:rPr>
                <w:lang w:eastAsia="en-US"/>
              </w:rPr>
              <w:t>Ксо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/  </w:t>
            </w:r>
            <w:proofErr w:type="spellStart"/>
            <w:r w:rsidRPr="007D1820">
              <w:rPr>
                <w:lang w:eastAsia="en-US"/>
              </w:rPr>
              <w:t>КСобщ</w:t>
            </w:r>
            <w:proofErr w:type="spellEnd"/>
            <w:proofErr w:type="gramEnd"/>
            <w:r>
              <w:rPr>
                <w:lang w:eastAsia="en-US"/>
              </w:rPr>
              <w:t>, где:</w:t>
            </w:r>
          </w:p>
          <w:p w:rsidR="00ED62C7" w:rsidRDefault="00ED62C7" w:rsidP="00F31C9E">
            <w:pPr>
              <w:ind w:firstLine="318"/>
              <w:rPr>
                <w:lang w:eastAsia="en-US"/>
              </w:rPr>
            </w:pPr>
          </w:p>
          <w:p w:rsidR="00ED62C7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ДСо</w:t>
            </w:r>
            <w:proofErr w:type="spellEnd"/>
            <w:r>
              <w:rPr>
                <w:lang w:eastAsia="en-US"/>
              </w:rPr>
              <w:t xml:space="preserve"> – доля сотрудников Администрации,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>
              <w:rPr>
                <w:lang w:eastAsia="en-US"/>
              </w:rPr>
              <w:t>комплаенсу</w:t>
            </w:r>
            <w:proofErr w:type="spellEnd"/>
            <w:r>
              <w:rPr>
                <w:lang w:eastAsia="en-US"/>
              </w:rPr>
              <w:t>;</w:t>
            </w:r>
          </w:p>
          <w:p w:rsidR="00ED62C7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КСо</w:t>
            </w:r>
            <w:proofErr w:type="spellEnd"/>
            <w:r>
              <w:rPr>
                <w:lang w:eastAsia="en-US"/>
              </w:rPr>
              <w:t xml:space="preserve"> – количество сотрудников Администрации,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>
              <w:rPr>
                <w:lang w:eastAsia="en-US"/>
              </w:rPr>
              <w:t>комплаенсу</w:t>
            </w:r>
            <w:proofErr w:type="spellEnd"/>
            <w:r>
              <w:rPr>
                <w:lang w:eastAsia="en-US"/>
              </w:rPr>
              <w:t>;</w:t>
            </w:r>
          </w:p>
          <w:p w:rsidR="00ED62C7" w:rsidRPr="00687EAA" w:rsidRDefault="00ED62C7" w:rsidP="00F31C9E">
            <w:pPr>
              <w:ind w:firstLine="31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КСобщ</w:t>
            </w:r>
            <w:proofErr w:type="spellEnd"/>
            <w:r>
              <w:rPr>
                <w:lang w:eastAsia="en-US"/>
              </w:rPr>
              <w:t xml:space="preserve"> – общее количество сотрудников Администрации, чьи должностные обязанности предусматривают выполнение функций, связанных с рисками нарушения антимонопольного законодательства.</w:t>
            </w:r>
          </w:p>
        </w:tc>
      </w:tr>
    </w:tbl>
    <w:p w:rsidR="000F2FBE" w:rsidRPr="000F2FBE" w:rsidRDefault="000F2FBE" w:rsidP="000F2FBE">
      <w:pPr>
        <w:shd w:val="clear" w:color="auto" w:fill="FFFFFF"/>
        <w:spacing w:line="276" w:lineRule="auto"/>
        <w:ind w:right="7"/>
        <w:jc w:val="center"/>
        <w:rPr>
          <w:rFonts w:cs="Times New Roman"/>
        </w:rPr>
      </w:pPr>
    </w:p>
    <w:sectPr w:rsidR="000F2FBE" w:rsidRPr="000F2FBE" w:rsidSect="00B0377B">
      <w:pgSz w:w="11909" w:h="16834"/>
      <w:pgMar w:top="709" w:right="893" w:bottom="720" w:left="118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7EF454"/>
    <w:lvl w:ilvl="0">
      <w:numFmt w:val="bullet"/>
      <w:lvlText w:val="*"/>
      <w:lvlJc w:val="left"/>
    </w:lvl>
  </w:abstractNum>
  <w:abstractNum w:abstractNumId="1" w15:restartNumberingAfterBreak="0">
    <w:nsid w:val="0EEA4C14"/>
    <w:multiLevelType w:val="singleLevel"/>
    <w:tmpl w:val="D6E23F1C"/>
    <w:lvl w:ilvl="0">
      <w:start w:val="26"/>
      <w:numFmt w:val="decimal"/>
      <w:lvlText w:val="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944C3B"/>
    <w:multiLevelType w:val="multilevel"/>
    <w:tmpl w:val="4C2E197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72" w:hanging="1800"/>
      </w:pPr>
      <w:rPr>
        <w:rFonts w:hint="default"/>
      </w:rPr>
    </w:lvl>
  </w:abstractNum>
  <w:abstractNum w:abstractNumId="3" w15:restartNumberingAfterBreak="0">
    <w:nsid w:val="39DF5EDC"/>
    <w:multiLevelType w:val="hybridMultilevel"/>
    <w:tmpl w:val="C19C1BDE"/>
    <w:lvl w:ilvl="0" w:tplc="04441C86">
      <w:start w:val="1"/>
      <w:numFmt w:val="upperRoman"/>
      <w:lvlText w:val="%1."/>
      <w:lvlJc w:val="left"/>
      <w:pPr>
        <w:ind w:left="742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5289078D"/>
    <w:multiLevelType w:val="hybridMultilevel"/>
    <w:tmpl w:val="E732F7D6"/>
    <w:lvl w:ilvl="0" w:tplc="6548D19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B23608"/>
    <w:multiLevelType w:val="hybridMultilevel"/>
    <w:tmpl w:val="018A749A"/>
    <w:lvl w:ilvl="0" w:tplc="0406A6AE">
      <w:start w:val="1"/>
      <w:numFmt w:val="decimal"/>
      <w:lvlText w:val="%1."/>
      <w:lvlJc w:val="left"/>
      <w:pPr>
        <w:ind w:left="52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71A9315D"/>
    <w:multiLevelType w:val="singleLevel"/>
    <w:tmpl w:val="B4384882"/>
    <w:lvl w:ilvl="0">
      <w:start w:val="16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E3"/>
    <w:rsid w:val="000004B8"/>
    <w:rsid w:val="000070FD"/>
    <w:rsid w:val="00062F02"/>
    <w:rsid w:val="000879B8"/>
    <w:rsid w:val="000B52C4"/>
    <w:rsid w:val="000E13B9"/>
    <w:rsid w:val="000E1679"/>
    <w:rsid w:val="000E610C"/>
    <w:rsid w:val="000F2FBE"/>
    <w:rsid w:val="00115DE6"/>
    <w:rsid w:val="00120F9B"/>
    <w:rsid w:val="00165BD3"/>
    <w:rsid w:val="00182152"/>
    <w:rsid w:val="00193232"/>
    <w:rsid w:val="001A1395"/>
    <w:rsid w:val="001B3862"/>
    <w:rsid w:val="001D3D60"/>
    <w:rsid w:val="001E2E7F"/>
    <w:rsid w:val="00226010"/>
    <w:rsid w:val="00232292"/>
    <w:rsid w:val="0024030C"/>
    <w:rsid w:val="00257607"/>
    <w:rsid w:val="002670AD"/>
    <w:rsid w:val="002807DD"/>
    <w:rsid w:val="002955AF"/>
    <w:rsid w:val="002A283D"/>
    <w:rsid w:val="002A5AD8"/>
    <w:rsid w:val="002C009A"/>
    <w:rsid w:val="002C05E9"/>
    <w:rsid w:val="002C42E3"/>
    <w:rsid w:val="002E6B30"/>
    <w:rsid w:val="003246C7"/>
    <w:rsid w:val="003552E0"/>
    <w:rsid w:val="003618E9"/>
    <w:rsid w:val="003922E1"/>
    <w:rsid w:val="003C5900"/>
    <w:rsid w:val="003D2402"/>
    <w:rsid w:val="00417CB4"/>
    <w:rsid w:val="004950E2"/>
    <w:rsid w:val="004E2F33"/>
    <w:rsid w:val="004F63FC"/>
    <w:rsid w:val="004F72B4"/>
    <w:rsid w:val="005108AA"/>
    <w:rsid w:val="00523159"/>
    <w:rsid w:val="005429BD"/>
    <w:rsid w:val="00544AC5"/>
    <w:rsid w:val="00552040"/>
    <w:rsid w:val="0058653A"/>
    <w:rsid w:val="005A141B"/>
    <w:rsid w:val="005F404F"/>
    <w:rsid w:val="00603C68"/>
    <w:rsid w:val="006071EC"/>
    <w:rsid w:val="00617BE9"/>
    <w:rsid w:val="006307E3"/>
    <w:rsid w:val="00633EE8"/>
    <w:rsid w:val="00646D01"/>
    <w:rsid w:val="006521F5"/>
    <w:rsid w:val="00661061"/>
    <w:rsid w:val="006758C6"/>
    <w:rsid w:val="00682F1B"/>
    <w:rsid w:val="006D04EE"/>
    <w:rsid w:val="006D5F45"/>
    <w:rsid w:val="006D6B7E"/>
    <w:rsid w:val="0070414E"/>
    <w:rsid w:val="00712229"/>
    <w:rsid w:val="00732ADA"/>
    <w:rsid w:val="00737067"/>
    <w:rsid w:val="00750808"/>
    <w:rsid w:val="007847AD"/>
    <w:rsid w:val="007917D0"/>
    <w:rsid w:val="007B58EE"/>
    <w:rsid w:val="007C00CD"/>
    <w:rsid w:val="007C7EC4"/>
    <w:rsid w:val="00815134"/>
    <w:rsid w:val="00846FFF"/>
    <w:rsid w:val="0086069A"/>
    <w:rsid w:val="0086358A"/>
    <w:rsid w:val="00864BA9"/>
    <w:rsid w:val="00890F2E"/>
    <w:rsid w:val="008A663C"/>
    <w:rsid w:val="008E0655"/>
    <w:rsid w:val="008E2F11"/>
    <w:rsid w:val="008E4083"/>
    <w:rsid w:val="00900319"/>
    <w:rsid w:val="009124AE"/>
    <w:rsid w:val="00915C83"/>
    <w:rsid w:val="00917220"/>
    <w:rsid w:val="00925150"/>
    <w:rsid w:val="00925CAF"/>
    <w:rsid w:val="00962BBB"/>
    <w:rsid w:val="009832A8"/>
    <w:rsid w:val="00A5518C"/>
    <w:rsid w:val="00A62917"/>
    <w:rsid w:val="00A813E6"/>
    <w:rsid w:val="00A865E1"/>
    <w:rsid w:val="00AA7BAD"/>
    <w:rsid w:val="00AB0E69"/>
    <w:rsid w:val="00AD463E"/>
    <w:rsid w:val="00B0377B"/>
    <w:rsid w:val="00B10D11"/>
    <w:rsid w:val="00B33C5E"/>
    <w:rsid w:val="00B47479"/>
    <w:rsid w:val="00B764FE"/>
    <w:rsid w:val="00B76891"/>
    <w:rsid w:val="00B902A7"/>
    <w:rsid w:val="00B95DE7"/>
    <w:rsid w:val="00BA4E76"/>
    <w:rsid w:val="00BA6010"/>
    <w:rsid w:val="00BE1C41"/>
    <w:rsid w:val="00C04863"/>
    <w:rsid w:val="00C05A88"/>
    <w:rsid w:val="00C428AC"/>
    <w:rsid w:val="00C428E8"/>
    <w:rsid w:val="00C457CC"/>
    <w:rsid w:val="00C47EE1"/>
    <w:rsid w:val="00C94F95"/>
    <w:rsid w:val="00CC79E7"/>
    <w:rsid w:val="00CE3AF2"/>
    <w:rsid w:val="00D1392C"/>
    <w:rsid w:val="00D35268"/>
    <w:rsid w:val="00D71564"/>
    <w:rsid w:val="00D844DF"/>
    <w:rsid w:val="00D85598"/>
    <w:rsid w:val="00D94EFF"/>
    <w:rsid w:val="00DB27DB"/>
    <w:rsid w:val="00DB589E"/>
    <w:rsid w:val="00E1419A"/>
    <w:rsid w:val="00E30F7E"/>
    <w:rsid w:val="00E65DEA"/>
    <w:rsid w:val="00E920C9"/>
    <w:rsid w:val="00EA17F3"/>
    <w:rsid w:val="00EC6F72"/>
    <w:rsid w:val="00ED62C7"/>
    <w:rsid w:val="00EE51B1"/>
    <w:rsid w:val="00EF4BD2"/>
    <w:rsid w:val="00F13522"/>
    <w:rsid w:val="00F53736"/>
    <w:rsid w:val="00F81EA7"/>
    <w:rsid w:val="00F95552"/>
    <w:rsid w:val="00FA4753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11BE"/>
  <w15:docId w15:val="{BF79769D-E152-4F7C-A55B-52234048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A88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BA4E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H2"/>
    <w:basedOn w:val="a"/>
    <w:next w:val="a"/>
    <w:link w:val="20"/>
    <w:uiPriority w:val="99"/>
    <w:unhideWhenUsed/>
    <w:qFormat/>
    <w:rsid w:val="00BA4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A4E76"/>
    <w:pPr>
      <w:keepNext/>
      <w:tabs>
        <w:tab w:val="num" w:pos="170"/>
      </w:tabs>
      <w:spacing w:before="240"/>
      <w:ind w:left="720" w:hanging="720"/>
      <w:outlineLvl w:val="2"/>
    </w:pPr>
    <w:rPr>
      <w:rFonts w:ascii="Arial" w:eastAsia="Times New Roman" w:hAnsi="Arial" w:cs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A4E76"/>
    <w:pPr>
      <w:spacing w:before="240"/>
      <w:outlineLvl w:val="7"/>
    </w:pPr>
    <w:rPr>
      <w:rFonts w:ascii="Calibri" w:eastAsia="Times New Roman" w:hAnsi="Calibri" w:cs="Times New Roman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A4E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BA4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BA4E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BA4E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9"/>
    <w:semiHidden/>
    <w:rsid w:val="00BA4E76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BA4E7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BA4E76"/>
    <w:pPr>
      <w:ind w:left="720"/>
      <w:contextualSpacing/>
    </w:pPr>
    <w:rPr>
      <w:rFonts w:asciiTheme="minorHAnsi" w:hAnsiTheme="minorHAnsi"/>
      <w:lang w:eastAsia="en-US"/>
    </w:rPr>
  </w:style>
  <w:style w:type="character" w:customStyle="1" w:styleId="a6">
    <w:name w:val="Абзац списка Знак"/>
    <w:link w:val="a5"/>
    <w:uiPriority w:val="34"/>
    <w:locked/>
    <w:rsid w:val="00BA4E76"/>
    <w:rPr>
      <w:sz w:val="24"/>
      <w:szCs w:val="24"/>
    </w:rPr>
  </w:style>
  <w:style w:type="character" w:styleId="a7">
    <w:name w:val="Subtle Emphasis"/>
    <w:basedOn w:val="a0"/>
    <w:uiPriority w:val="19"/>
    <w:qFormat/>
    <w:rsid w:val="00BA4E76"/>
    <w:rPr>
      <w:i/>
      <w:iCs/>
      <w:color w:val="808080" w:themeColor="text1" w:themeTint="7F"/>
    </w:rPr>
  </w:style>
  <w:style w:type="character" w:styleId="a8">
    <w:name w:val="Hyperlink"/>
    <w:rsid w:val="00182152"/>
    <w:rPr>
      <w:color w:val="000080"/>
      <w:u w:val="single"/>
    </w:rPr>
  </w:style>
  <w:style w:type="paragraph" w:styleId="a9">
    <w:name w:val="No Spacing"/>
    <w:uiPriority w:val="1"/>
    <w:qFormat/>
    <w:rsid w:val="00646D01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392C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92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716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A68A-FADA-4A02-BE4F-34D6E21A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 Похвистневский</dc:creator>
  <cp:lastModifiedBy>Org_otdel_NPA</cp:lastModifiedBy>
  <cp:revision>126</cp:revision>
  <cp:lastPrinted>2019-07-23T06:46:00Z</cp:lastPrinted>
  <dcterms:created xsi:type="dcterms:W3CDTF">2019-07-11T05:26:00Z</dcterms:created>
  <dcterms:modified xsi:type="dcterms:W3CDTF">2026-02-11T05:07:00Z</dcterms:modified>
</cp:coreProperties>
</file>