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8E5FD3" w:rsidTr="00A05481">
        <w:trPr>
          <w:trHeight w:val="728"/>
        </w:trPr>
        <w:tc>
          <w:tcPr>
            <w:tcW w:w="4518" w:type="dxa"/>
            <w:vMerge w:val="restart"/>
          </w:tcPr>
          <w:p w:rsidR="008E5FD3" w:rsidRPr="00DC61D3" w:rsidRDefault="008E5FD3" w:rsidP="00A05481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А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ДМИНИСТРАЦИЯ</w:t>
            </w:r>
          </w:p>
          <w:p w:rsidR="008E5FD3" w:rsidRPr="00165CA6" w:rsidRDefault="008E5FD3" w:rsidP="00A05481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8E5FD3" w:rsidRPr="002E0B55" w:rsidRDefault="008E5FD3" w:rsidP="00A05481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8E5FD3" w:rsidRPr="00526CA1" w:rsidRDefault="00526CA1" w:rsidP="00A05481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CA1"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  <w:r w:rsidR="008E5FD3" w:rsidRPr="00526CA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526CA1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</w:p>
          <w:p w:rsidR="008E5FD3" w:rsidRDefault="008E5FD3" w:rsidP="00A05481">
            <w:pPr>
              <w:shd w:val="clear" w:color="auto" w:fill="FFFFFF"/>
              <w:spacing w:before="252"/>
              <w:jc w:val="center"/>
            </w:pPr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8E5FD3" w:rsidRDefault="008E5FD3" w:rsidP="00A05481">
            <w:pPr>
              <w:spacing w:before="276"/>
              <w:ind w:left="185" w:right="-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3712845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3335" t="12700" r="9525" b="952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2B6331" id="Группа 4" o:spid="_x0000_s1026" style="position:absolute;margin-left:292.35pt;margin-top:20.4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3335" r="10160" b="95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569FCA" id="Группа 1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911A5F">
              <w:rPr>
                <w:sz w:val="24"/>
                <w:szCs w:val="24"/>
              </w:rPr>
              <w:t xml:space="preserve"> </w:t>
            </w:r>
          </w:p>
        </w:tc>
      </w:tr>
      <w:tr w:rsidR="008E5FD3" w:rsidTr="00A05481">
        <w:trPr>
          <w:trHeight w:val="3878"/>
        </w:trPr>
        <w:tc>
          <w:tcPr>
            <w:tcW w:w="4518" w:type="dxa"/>
            <w:vMerge/>
          </w:tcPr>
          <w:p w:rsidR="008E5FD3" w:rsidRDefault="008E5FD3" w:rsidP="00A05481">
            <w:pPr>
              <w:ind w:right="1741"/>
              <w:jc w:val="bot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8E5FD3" w:rsidRPr="008E5FD3" w:rsidRDefault="008E5FD3" w:rsidP="008E5FD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791BFD">
        <w:rPr>
          <w:rFonts w:ascii="Times New Roman" w:hAnsi="Times New Roman" w:cs="Times New Roman"/>
          <w:sz w:val="28"/>
          <w:szCs w:val="28"/>
        </w:rPr>
        <w:t xml:space="preserve">       </w:t>
      </w:r>
      <w:r w:rsidRPr="008E5FD3">
        <w:rPr>
          <w:rFonts w:ascii="Times New Roman" w:hAnsi="Times New Roman" w:cs="Times New Roman"/>
          <w:bCs/>
          <w:color w:val="000000"/>
          <w:sz w:val="26"/>
          <w:szCs w:val="26"/>
        </w:rPr>
        <w:t>Об утверждении П</w:t>
      </w:r>
      <w:r w:rsidRPr="008E5FD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рограммы  профилактики</w:t>
      </w:r>
    </w:p>
    <w:p w:rsidR="008E5FD3" w:rsidRPr="008E5FD3" w:rsidRDefault="008E5FD3" w:rsidP="008E5FD3">
      <w:pP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E5FD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 рисков причинения вреда (ущерба) охраняемым</w:t>
      </w:r>
    </w:p>
    <w:p w:rsidR="008E5FD3" w:rsidRPr="008E5FD3" w:rsidRDefault="008E5FD3" w:rsidP="008E5FD3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E5FD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 законом </w:t>
      </w:r>
      <w:r w:rsidR="00B555F3" w:rsidRPr="008E5FD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ценностям в</w:t>
      </w:r>
      <w:r w:rsidRPr="008E5FD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сфере</w:t>
      </w:r>
      <w:r w:rsidRPr="008E5FD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муниципального </w:t>
      </w:r>
    </w:p>
    <w:p w:rsidR="008E5FD3" w:rsidRPr="008E5FD3" w:rsidRDefault="008E5FD3" w:rsidP="008E5FD3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E5FD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земельного контроля</w:t>
      </w:r>
      <w:r w:rsidRPr="008E5FD3">
        <w:rPr>
          <w:rFonts w:ascii="Times New Roman" w:hAnsi="Times New Roman" w:cs="Times New Roman"/>
          <w:bCs/>
          <w:color w:val="000000"/>
          <w:spacing w:val="-6"/>
          <w:sz w:val="26"/>
          <w:szCs w:val="26"/>
        </w:rPr>
        <w:t xml:space="preserve"> в границах </w:t>
      </w:r>
      <w:r w:rsidRPr="008E5FD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муниципального </w:t>
      </w:r>
    </w:p>
    <w:p w:rsidR="008E5FD3" w:rsidRPr="008E5FD3" w:rsidRDefault="008E5FD3" w:rsidP="008E5FD3">
      <w:pPr>
        <w:rPr>
          <w:rFonts w:ascii="Times New Roman" w:hAnsi="Times New Roman" w:cs="Times New Roman"/>
          <w:bCs/>
          <w:color w:val="000000"/>
          <w:spacing w:val="-6"/>
          <w:sz w:val="26"/>
          <w:szCs w:val="26"/>
        </w:rPr>
      </w:pPr>
      <w:r w:rsidRPr="008E5FD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района Похвистневский </w:t>
      </w:r>
      <w:r w:rsidRPr="008E5FD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на 2026</w:t>
      </w:r>
      <w:r w:rsidRPr="008E5FD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год</w:t>
      </w:r>
    </w:p>
    <w:p w:rsidR="008E5FD3" w:rsidRDefault="008E5FD3" w:rsidP="008E5FD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E5FD3" w:rsidRPr="00AB0424" w:rsidRDefault="008E5FD3" w:rsidP="008E5FD3">
      <w:pPr>
        <w:tabs>
          <w:tab w:val="left" w:pos="709"/>
          <w:tab w:val="left" w:pos="1134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90D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8A6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6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Уставом муниципального района Похвистневский Самарской области,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района Похвистневский</w:t>
      </w:r>
    </w:p>
    <w:p w:rsidR="008E5FD3" w:rsidRPr="00AB0424" w:rsidRDefault="008E5FD3" w:rsidP="008E5FD3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04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ПОСТАНОВЛЯЕТ:</w:t>
      </w:r>
    </w:p>
    <w:p w:rsidR="008E5FD3" w:rsidRPr="00AC5453" w:rsidRDefault="008E5FD3" w:rsidP="008E5FD3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90D">
        <w:rPr>
          <w:rFonts w:ascii="Times New Roman" w:hAnsi="Times New Roman" w:cs="Times New Roman"/>
          <w:color w:val="000000"/>
          <w:sz w:val="28"/>
          <w:szCs w:val="28"/>
        </w:rPr>
        <w:t>1. Утвердить П</w:t>
      </w:r>
      <w:r w:rsidRPr="008A6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сфере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земельного контроля</w:t>
      </w:r>
      <w:r w:rsidRPr="008A690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 границах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Похвистневский </w:t>
      </w:r>
      <w:r w:rsidRPr="008A69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2026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:rsidR="008E5FD3" w:rsidRPr="004C4CD1" w:rsidRDefault="008E5FD3" w:rsidP="008E5FD3">
      <w:pPr>
        <w:pStyle w:val="20"/>
        <w:tabs>
          <w:tab w:val="left" w:pos="120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8A690D"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A690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</w:t>
      </w:r>
      <w:r w:rsidRPr="008A690D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силу со дня его официального опубликования.</w:t>
      </w:r>
    </w:p>
    <w:p w:rsidR="008E5FD3" w:rsidRPr="008A690D" w:rsidRDefault="008E5FD3" w:rsidP="008E5FD3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A690D">
        <w:rPr>
          <w:color w:val="000000"/>
          <w:sz w:val="28"/>
          <w:szCs w:val="28"/>
        </w:rPr>
        <w:lastRenderedPageBreak/>
        <w:t>3. Обеспечить размещение настоящего Пост</w:t>
      </w:r>
      <w:r>
        <w:rPr>
          <w:color w:val="000000"/>
          <w:sz w:val="28"/>
          <w:szCs w:val="28"/>
        </w:rPr>
        <w:t>ановления на сайте А</w:t>
      </w:r>
      <w:r w:rsidRPr="008A690D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муниципального района Похвистневский</w:t>
      </w:r>
      <w:r w:rsidRPr="008A690D">
        <w:rPr>
          <w:i/>
          <w:iCs/>
          <w:color w:val="000000"/>
        </w:rPr>
        <w:t xml:space="preserve"> </w:t>
      </w:r>
      <w:r w:rsidRPr="008A690D">
        <w:rPr>
          <w:color w:val="000000"/>
          <w:sz w:val="28"/>
          <w:szCs w:val="28"/>
        </w:rPr>
        <w:t>в информационно-коммуникационной сети «Интернет» в разделе «Контрольно-надзорная деятельность».</w:t>
      </w:r>
    </w:p>
    <w:p w:rsidR="008E5FD3" w:rsidRDefault="008E5FD3" w:rsidP="008E5FD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 Контроль за исполнением настоящего Постановления возложить на руководителя Комитета по управлению муниципальным имуществом Администрации муниципального района Похвистневский Самарской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 (</w:t>
      </w:r>
      <w:proofErr w:type="gramEnd"/>
      <w:r>
        <w:rPr>
          <w:rFonts w:ascii="Times New Roman" w:hAnsi="Times New Roman" w:cs="Times New Roman"/>
          <w:sz w:val="28"/>
          <w:szCs w:val="28"/>
        </w:rPr>
        <w:t>О.А. Денисову).</w:t>
      </w:r>
    </w:p>
    <w:p w:rsidR="008E5FD3" w:rsidRDefault="008E5FD3" w:rsidP="008E5FD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5FD3" w:rsidRPr="007E09A8" w:rsidRDefault="008E5FD3" w:rsidP="008E5F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B98" w:rsidRDefault="00F57B98" w:rsidP="00F57B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Главы района                                                            А.Д. Давыденко</w:t>
      </w:r>
    </w:p>
    <w:p w:rsidR="008E5FD3" w:rsidRDefault="008E5FD3" w:rsidP="008E5F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FD3" w:rsidRDefault="008E5FD3" w:rsidP="008E5FD3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8E5FD3" w:rsidRPr="004C4CD1" w:rsidRDefault="008E5FD3" w:rsidP="008E5FD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8E5FD3" w:rsidRDefault="008E5FD3" w:rsidP="008E5FD3">
      <w:pPr>
        <w:widowControl/>
        <w:autoSpaceDE/>
        <w:autoSpaceDN/>
        <w:adjustRightInd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4CD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E5FD3" w:rsidRPr="004C4CD1" w:rsidRDefault="008E5FD3" w:rsidP="008E5FD3">
      <w:pPr>
        <w:widowControl/>
        <w:autoSpaceDE/>
        <w:autoSpaceDN/>
        <w:adjustRightInd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4C4CD1">
        <w:rPr>
          <w:rFonts w:ascii="Times New Roman" w:hAnsi="Times New Roman" w:cs="Times New Roman"/>
          <w:sz w:val="24"/>
          <w:szCs w:val="24"/>
        </w:rPr>
        <w:t>Постано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C4CD1">
        <w:rPr>
          <w:rFonts w:ascii="Times New Roman" w:hAnsi="Times New Roman" w:cs="Times New Roman"/>
          <w:sz w:val="24"/>
          <w:szCs w:val="24"/>
        </w:rPr>
        <w:t>лению Администрации муниципального района Похвистневский</w:t>
      </w:r>
    </w:p>
    <w:p w:rsidR="008E5FD3" w:rsidRPr="004C4CD1" w:rsidRDefault="008E5FD3" w:rsidP="008E5FD3">
      <w:pPr>
        <w:widowControl/>
        <w:autoSpaceDE/>
        <w:autoSpaceDN/>
        <w:adjustRightInd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E5FD3" w:rsidRPr="004C4CD1" w:rsidRDefault="008E5FD3" w:rsidP="008E5FD3">
      <w:pPr>
        <w:widowControl/>
        <w:autoSpaceDE/>
        <w:autoSpaceDN/>
        <w:adjustRightInd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4C4C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26CA1">
        <w:rPr>
          <w:rFonts w:ascii="Times New Roman" w:hAnsi="Times New Roman" w:cs="Times New Roman"/>
          <w:sz w:val="24"/>
          <w:szCs w:val="24"/>
        </w:rPr>
        <w:t xml:space="preserve">от </w:t>
      </w:r>
      <w:r w:rsidR="00526CA1" w:rsidRPr="00526CA1">
        <w:rPr>
          <w:rFonts w:ascii="Times New Roman" w:hAnsi="Times New Roman" w:cs="Times New Roman"/>
          <w:sz w:val="24"/>
          <w:szCs w:val="24"/>
        </w:rPr>
        <w:t>05.12.2025 № 909</w:t>
      </w:r>
    </w:p>
    <w:p w:rsidR="008E5FD3" w:rsidRDefault="008E5FD3" w:rsidP="008E5FD3">
      <w:pPr>
        <w:widowControl/>
        <w:autoSpaceDE/>
        <w:autoSpaceDN/>
        <w:adjustRightInd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8E5FD3" w:rsidRPr="004C4CD1" w:rsidRDefault="008E5FD3" w:rsidP="008E5FD3">
      <w:pPr>
        <w:widowControl/>
        <w:autoSpaceDE/>
        <w:autoSpaceDN/>
        <w:adjustRightInd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8E5FD3" w:rsidRPr="00621C8B" w:rsidRDefault="008E5FD3" w:rsidP="008E5FD3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Программа </w:t>
      </w:r>
      <w:r w:rsidRPr="004C4C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земельного контроля</w:t>
      </w:r>
    </w:p>
    <w:p w:rsidR="008E5FD3" w:rsidRPr="004C4CD1" w:rsidRDefault="008E5FD3" w:rsidP="008E5FD3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E5FD3" w:rsidRPr="008E5FD3" w:rsidRDefault="008E5FD3" w:rsidP="008E5FD3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5FD3" w:rsidRPr="008E5FD3" w:rsidRDefault="008E5FD3" w:rsidP="008E5FD3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5FD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8E5FD3">
        <w:rPr>
          <w:rFonts w:ascii="Times New Roman" w:eastAsia="Calibri" w:hAnsi="Times New Roman" w:cs="Times New Roman"/>
          <w:sz w:val="28"/>
          <w:szCs w:val="28"/>
          <w:lang w:eastAsia="en-US"/>
        </w:rPr>
        <w:t>. Анализ текущего состояния осуществления муниципального контроля, описание текущего развития профилактической деятельности Комитета по управлению муниципальным имуществом Администрации муниципального района Похвистневский (далее –Комитет), характеристика проблем, на решение которых направлена программа профилактики.</w:t>
      </w:r>
    </w:p>
    <w:p w:rsidR="008E5FD3" w:rsidRPr="008E5FD3" w:rsidRDefault="008E5FD3" w:rsidP="008E5FD3">
      <w:pPr>
        <w:widowControl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100D80">
        <w:rPr>
          <w:rFonts w:ascii="Times New Roman" w:eastAsia="Calibri" w:hAnsi="Times New Roman" w:cs="Times New Roman"/>
          <w:sz w:val="28"/>
          <w:szCs w:val="28"/>
        </w:rPr>
        <w:t>С принятием Федерального закона от 11.06.2021 № 170-ФЗ «О внесении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изменений в отдельные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ьные акты Российской Федерации в</w:t>
      </w:r>
      <w:r w:rsidRPr="00100D80">
        <w:rPr>
          <w:rFonts w:ascii="Times New Roman" w:eastAsia="Calibri" w:hAnsi="Times New Roman" w:cs="Times New Roman"/>
          <w:sz w:val="28"/>
          <w:szCs w:val="28"/>
        </w:rPr>
        <w:t xml:space="preserve"> связи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принятием Федерального закона «О государственном контроле (надзоре)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муниципальном контроле в Российской Федерации» (далее — Федеральный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 № 248-Ф</w:t>
      </w:r>
      <w:r w:rsidRPr="00100D80">
        <w:rPr>
          <w:rFonts w:ascii="Times New Roman" w:eastAsia="Calibri" w:hAnsi="Times New Roman" w:cs="Times New Roman"/>
          <w:sz w:val="28"/>
          <w:szCs w:val="28"/>
        </w:rPr>
        <w:t>3) к предмету муниципального земельного контроля было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отнесено соблюдение юридическими лицами, индивидуальными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предпринимателями, гражданами (далее - контролируемые лица) лишь тех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обязательных требований земельного законодательства в отношении объектов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земельных отношений, за нарушение которых </w:t>
      </w:r>
      <w:r w:rsidRPr="00100D80">
        <w:rPr>
          <w:rFonts w:ascii="Times New Roman" w:eastAsia="Calibri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предусмотрена административная ответственность.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100D80">
        <w:rPr>
          <w:rFonts w:ascii="Times New Roman" w:eastAsia="Calibri" w:hAnsi="Times New Roman" w:cs="Times New Roman"/>
          <w:sz w:val="28"/>
          <w:szCs w:val="28"/>
        </w:rPr>
        <w:t>Таким образом,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учетом вступившего в силу с 1</w:t>
      </w:r>
      <w:r w:rsidRPr="00100D80">
        <w:rPr>
          <w:rFonts w:ascii="Times New Roman" w:eastAsia="Calibri" w:hAnsi="Times New Roman" w:cs="Times New Roman"/>
          <w:sz w:val="28"/>
          <w:szCs w:val="28"/>
        </w:rPr>
        <w:t xml:space="preserve"> января 2022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 xml:space="preserve">Положения о муниципальном земельном контроле </w:t>
      </w:r>
      <w:r>
        <w:rPr>
          <w:rFonts w:ascii="Times New Roman" w:eastAsia="Calibri" w:hAnsi="Times New Roman" w:cs="Times New Roman"/>
          <w:sz w:val="28"/>
          <w:szCs w:val="28"/>
        </w:rPr>
        <w:t>на территории муниципального района Похвистневский Самарской области</w:t>
      </w:r>
      <w:r w:rsidRPr="00100D80">
        <w:rPr>
          <w:rFonts w:ascii="Times New Roman" w:eastAsia="Calibri" w:hAnsi="Times New Roman" w:cs="Times New Roman"/>
          <w:sz w:val="28"/>
          <w:szCs w:val="28"/>
        </w:rPr>
        <w:t>, муниципальный земельный контроль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осуществляется исключительно за соблюдением: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1) обязательных требований о недопущении самовольного занятия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земель, земельного участка 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части земельного участка, в том</w:t>
      </w:r>
      <w:r w:rsidRPr="00100D80">
        <w:rPr>
          <w:rFonts w:ascii="Times New Roman" w:eastAsia="Calibri" w:hAnsi="Times New Roman" w:cs="Times New Roman"/>
          <w:sz w:val="28"/>
          <w:szCs w:val="28"/>
        </w:rPr>
        <w:t xml:space="preserve"> числе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использования земель, земельного участка или части земельного участка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лицом, не имеющим предусмотренных законодательством прав на них;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2) обязательных требований об использовании земельных участков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целевому назначению в соответствии с их принадлежностью к той или иной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категории земель и (или) разрешенным использованием;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lastRenderedPageBreak/>
        <w:t>3) обязательных требований, связанных с обязательным использованием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земель, пр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едназначенных для жилищного или иного </w:t>
      </w:r>
      <w:r w:rsidRPr="00100D80">
        <w:rPr>
          <w:rFonts w:ascii="Times New Roman" w:eastAsia="Calibri" w:hAnsi="Times New Roman" w:cs="Times New Roman"/>
          <w:sz w:val="28"/>
          <w:szCs w:val="28"/>
        </w:rPr>
        <w:t>строительства,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садоводства, огородничества, в</w:t>
      </w:r>
      <w:r w:rsidRPr="00100D80">
        <w:rPr>
          <w:rFonts w:ascii="Times New Roman" w:eastAsia="Calibri" w:hAnsi="Times New Roman" w:cs="Times New Roman"/>
          <w:sz w:val="28"/>
          <w:szCs w:val="28"/>
        </w:rPr>
        <w:t xml:space="preserve"> указанных целях в течение установленного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срока;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4) обязательных требова</w:t>
      </w:r>
      <w:r>
        <w:rPr>
          <w:rFonts w:ascii="Times New Roman" w:eastAsia="Calibri" w:hAnsi="Times New Roman" w:cs="Times New Roman"/>
          <w:sz w:val="28"/>
          <w:szCs w:val="28"/>
        </w:rPr>
        <w:t>ний, связанных с обязанностью по</w:t>
      </w:r>
      <w:r w:rsidRPr="00100D80">
        <w:rPr>
          <w:rFonts w:ascii="Times New Roman" w:eastAsia="Calibri" w:hAnsi="Times New Roman" w:cs="Times New Roman"/>
          <w:sz w:val="28"/>
          <w:szCs w:val="28"/>
        </w:rPr>
        <w:t xml:space="preserve"> приведению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земель в состояние, пригодное для использования по целевому назначению;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5) исполнения предписаний об устранении нарушений обязательных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требований, выданных должностными лицами, </w:t>
      </w:r>
      <w:r w:rsidRPr="00100D80">
        <w:rPr>
          <w:rFonts w:ascii="Times New Roman" w:eastAsia="Calibri" w:hAnsi="Times New Roman" w:cs="Times New Roman"/>
          <w:sz w:val="28"/>
          <w:szCs w:val="28"/>
        </w:rPr>
        <w:t>уполномоченными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осуществлять муниципальный земельный контроль, в пределах </w:t>
      </w:r>
      <w:r w:rsidRPr="00100D80">
        <w:rPr>
          <w:rFonts w:ascii="Times New Roman" w:eastAsia="Calibri" w:hAnsi="Times New Roman" w:cs="Times New Roman"/>
          <w:sz w:val="28"/>
          <w:szCs w:val="28"/>
        </w:rPr>
        <w:t>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компетенции.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00D80">
        <w:rPr>
          <w:rFonts w:ascii="Times New Roman" w:eastAsia="Calibri" w:hAnsi="Times New Roman" w:cs="Times New Roman"/>
          <w:sz w:val="28"/>
          <w:szCs w:val="28"/>
        </w:rPr>
        <w:t>Подобная корректировка предмета муниципального земельного контроля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не позволяет в полной мере использовать материалы обобщения прежней</w:t>
      </w:r>
    </w:p>
    <w:p w:rsidR="008E5FD3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практики муниципального земельного контроля.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100D80">
        <w:rPr>
          <w:rFonts w:ascii="Times New Roman" w:eastAsia="Calibri" w:hAnsi="Times New Roman" w:cs="Times New Roman"/>
          <w:sz w:val="28"/>
          <w:szCs w:val="28"/>
        </w:rPr>
        <w:t>К проблемам, на решение которых направлена 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грамма </w:t>
      </w:r>
      <w:r w:rsidRPr="00100D80">
        <w:rPr>
          <w:rFonts w:ascii="Times New Roman" w:eastAsia="Calibri" w:hAnsi="Times New Roman" w:cs="Times New Roman"/>
          <w:sz w:val="28"/>
          <w:szCs w:val="28"/>
        </w:rPr>
        <w:t>профилактики, относятся случай: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1) самовольного занятия земель, земельных участков, частей земельных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участков;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2) использования земельных участков не по целевому назначению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соответствии с их принадлежностью к той или иной категории земель и (или)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разрешенным использованием;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3) неиспользования земель, предназначенных для жилищного или иного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строительства, садоводства, огородничества, в указанных целях в течение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установленного срока;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4) 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приведения земель в состояние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пригодное для использования по </w:t>
      </w:r>
      <w:r w:rsidRPr="00100D80">
        <w:rPr>
          <w:rFonts w:ascii="Times New Roman" w:eastAsia="Calibri" w:hAnsi="Times New Roman" w:cs="Times New Roman"/>
          <w:sz w:val="28"/>
          <w:szCs w:val="28"/>
        </w:rPr>
        <w:t>целевому назначению.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100D80">
        <w:rPr>
          <w:rFonts w:ascii="Times New Roman" w:eastAsia="Calibri" w:hAnsi="Times New Roman" w:cs="Times New Roman"/>
          <w:sz w:val="28"/>
          <w:szCs w:val="28"/>
        </w:rPr>
        <w:t>Наиболее распространенной причиной самовольного занятия земель,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земельных участков, частей земельных участков является стремление извлечь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выгоду от использования земельных участков (земель, частей земельных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участков) без оформления прав на них. Зачастую контролируемые лица,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допускающие подобное нарушение обязательных требований, не имеют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представления о том</w:t>
      </w:r>
      <w:r w:rsidRPr="00100D80">
        <w:rPr>
          <w:rFonts w:ascii="Times New Roman" w:eastAsia="Calibri" w:hAnsi="Times New Roman" w:cs="Times New Roman"/>
          <w:sz w:val="28"/>
          <w:szCs w:val="28"/>
        </w:rPr>
        <w:t>, что самовольное занятие земель, земельных участков,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частей земельных участков является основанием для предъявления требования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о неосновательном обогащении, в связи с фактическим использованием земли.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100D80">
        <w:rPr>
          <w:rFonts w:ascii="Times New Roman" w:eastAsia="Calibri" w:hAnsi="Times New Roman" w:cs="Times New Roman"/>
          <w:sz w:val="28"/>
          <w:szCs w:val="28"/>
        </w:rPr>
        <w:t>В рамках профилактических мероприятий соответствующая информация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должна доводиться до ко</w:t>
      </w:r>
      <w:r>
        <w:rPr>
          <w:rFonts w:ascii="Times New Roman" w:eastAsia="Calibri" w:hAnsi="Times New Roman" w:cs="Times New Roman"/>
          <w:sz w:val="28"/>
          <w:szCs w:val="28"/>
        </w:rPr>
        <w:t>нтролируемых лиц. Кроме того, до</w:t>
      </w:r>
      <w:r w:rsidRPr="00100D80">
        <w:rPr>
          <w:rFonts w:ascii="Times New Roman" w:eastAsia="Calibri" w:hAnsi="Times New Roman" w:cs="Times New Roman"/>
          <w:sz w:val="28"/>
          <w:szCs w:val="28"/>
        </w:rPr>
        <w:t xml:space="preserve"> контролируемых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 xml:space="preserve">лиц должна доводиться информация о процедурах </w:t>
      </w:r>
      <w:r w:rsidRPr="00100D80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 земельных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участков, находящихся в государственной или муниципальной собственности.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100D80">
        <w:rPr>
          <w:rFonts w:ascii="Times New Roman" w:eastAsia="Calibri" w:hAnsi="Times New Roman" w:cs="Times New Roman"/>
          <w:sz w:val="28"/>
          <w:szCs w:val="28"/>
        </w:rPr>
        <w:t>Наиболее распространенными причинами использования земельных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участков не по</w:t>
      </w:r>
      <w:r w:rsidRPr="00100D80">
        <w:rPr>
          <w:rFonts w:ascii="Times New Roman" w:eastAsia="Calibri" w:hAnsi="Times New Roman" w:cs="Times New Roman"/>
          <w:sz w:val="28"/>
          <w:szCs w:val="28"/>
        </w:rPr>
        <w:t xml:space="preserve"> целевом</w:t>
      </w:r>
      <w:r>
        <w:rPr>
          <w:rFonts w:ascii="Times New Roman" w:eastAsia="Calibri" w:hAnsi="Times New Roman" w:cs="Times New Roman"/>
          <w:sz w:val="28"/>
          <w:szCs w:val="28"/>
        </w:rPr>
        <w:t>у назначению в соответствии с их принадлежностью к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той или иной категории земель и (или) разрешенным использованием являются: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- желание физического лица использовать принадлежащий ему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земельный участок, предназначенный для индивидуального жилищного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строительства или ведения личного подсобного хозяйства, в коммерческих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целях;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- нежелание контролируемого лица оплачивать земельный налог 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арендную плату за использование земельного участка в повышенном размере;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- незнание процедур изменения видов разрешенного использования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земельного участка, или получения разрешения на условно разрешенный вид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использования земельного участка.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100D80">
        <w:rPr>
          <w:rFonts w:ascii="Times New Roman" w:eastAsia="Calibri" w:hAnsi="Times New Roman" w:cs="Times New Roman"/>
          <w:sz w:val="28"/>
          <w:szCs w:val="28"/>
        </w:rPr>
        <w:t>Наиболее распространенными причинами — неиспользования земель,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предназначенных для жилищного или иного строительства, садоводства,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огородничества, в указанных целях в течение установленного срока являются: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- отсутствие у собственника (правообладателя) земельного участка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средств на целевое использование земельного участка;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- стремление собственника земельного участка продать с наибольшей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выгодой соответствующий земельный участок без его целевого использования.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100D80">
        <w:rPr>
          <w:rFonts w:ascii="Times New Roman" w:eastAsia="Calibri" w:hAnsi="Times New Roman" w:cs="Times New Roman"/>
          <w:sz w:val="28"/>
          <w:szCs w:val="28"/>
        </w:rPr>
        <w:t xml:space="preserve">Наиболее распространенной причиной </w:t>
      </w:r>
      <w:proofErr w:type="spellStart"/>
      <w:r w:rsidRPr="00100D80">
        <w:rPr>
          <w:rFonts w:ascii="Times New Roman" w:eastAsia="Calibri" w:hAnsi="Times New Roman" w:cs="Times New Roman"/>
          <w:sz w:val="28"/>
          <w:szCs w:val="28"/>
        </w:rPr>
        <w:t>неприведения</w:t>
      </w:r>
      <w:proofErr w:type="spellEnd"/>
      <w:r w:rsidRPr="00100D80">
        <w:rPr>
          <w:rFonts w:ascii="Times New Roman" w:eastAsia="Calibri" w:hAnsi="Times New Roman" w:cs="Times New Roman"/>
          <w:sz w:val="28"/>
          <w:szCs w:val="28"/>
        </w:rPr>
        <w:t xml:space="preserve"> земель в состояние,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пригодное для использования по целевому назначению, является стремление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собственника (правообладателя) земельного участка сэкономить средства,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необходимые для приведения земель в состояние, пригодное для использования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по целевому назначению.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Мероприятия программы профилактики будут </w:t>
      </w:r>
      <w:r w:rsidRPr="00100D80">
        <w:rPr>
          <w:rFonts w:ascii="Times New Roman" w:eastAsia="Calibri" w:hAnsi="Times New Roman" w:cs="Times New Roman"/>
          <w:sz w:val="28"/>
          <w:szCs w:val="28"/>
        </w:rPr>
        <w:t>способствовать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частичному решению обозначенных проблем, в связи с повышением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информированности контролируемых лиц относительно </w:t>
      </w:r>
      <w:r w:rsidRPr="00100D80">
        <w:rPr>
          <w:rFonts w:ascii="Times New Roman" w:eastAsia="Calibri" w:hAnsi="Times New Roman" w:cs="Times New Roman"/>
          <w:sz w:val="28"/>
          <w:szCs w:val="28"/>
        </w:rPr>
        <w:t>последствий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нарушения обязательных требований и способов устранения нарушений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предусмотренными законодательством и муниципальными правовыми актами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100D80">
        <w:rPr>
          <w:rFonts w:ascii="Times New Roman" w:eastAsia="Calibri" w:hAnsi="Times New Roman" w:cs="Times New Roman"/>
          <w:sz w:val="28"/>
          <w:szCs w:val="28"/>
        </w:rPr>
        <w:t>При реализации мероприятий программы профилактики, повышенное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внимание должно быть уделено контролируемым лицам, владеющим и (или)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использующим земельные участки, отнесенные к категориям среднего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умеренного рисков.</w:t>
      </w:r>
    </w:p>
    <w:p w:rsidR="008E5FD3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</w:t>
      </w:r>
      <w:r w:rsidRPr="00100D80">
        <w:rPr>
          <w:rFonts w:ascii="Times New Roman" w:eastAsia="Calibri" w:hAnsi="Times New Roman" w:cs="Times New Roman"/>
          <w:b/>
          <w:sz w:val="28"/>
          <w:szCs w:val="28"/>
        </w:rPr>
        <w:t>2. Цели и задачи реализации программы профилактики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100D80">
        <w:rPr>
          <w:rFonts w:ascii="Times New Roman" w:eastAsia="Calibri" w:hAnsi="Times New Roman" w:cs="Times New Roman"/>
          <w:sz w:val="28"/>
          <w:szCs w:val="28"/>
        </w:rPr>
        <w:t>Целями профила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ктики рисков причинения вреда  </w:t>
      </w:r>
      <w:r w:rsidRPr="00100D80">
        <w:rPr>
          <w:rFonts w:ascii="Times New Roman" w:eastAsia="Calibri" w:hAnsi="Times New Roman" w:cs="Times New Roman"/>
          <w:sz w:val="28"/>
          <w:szCs w:val="28"/>
        </w:rPr>
        <w:t>(ущерба)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охраняемым законом ценностям являются: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стимулирование добросовестного соблюдения </w:t>
      </w:r>
      <w:r w:rsidRPr="00100D80">
        <w:rPr>
          <w:rFonts w:ascii="Times New Roman" w:eastAsia="Calibri" w:hAnsi="Times New Roman" w:cs="Times New Roman"/>
          <w:sz w:val="28"/>
          <w:szCs w:val="28"/>
        </w:rPr>
        <w:t>обязательных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требований всеми контролируемыми лицами;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 xml:space="preserve">2) устранение условий, причин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факторов, способных привести к </w:t>
      </w:r>
      <w:r w:rsidRPr="00100D80">
        <w:rPr>
          <w:rFonts w:ascii="Times New Roman" w:eastAsia="Calibri" w:hAnsi="Times New Roman" w:cs="Times New Roman"/>
          <w:sz w:val="28"/>
          <w:szCs w:val="28"/>
        </w:rPr>
        <w:t>нарушениям обязательных требований и (или) причинению вреда (ущерба)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охраняемым законом ценностям;</w:t>
      </w:r>
    </w:p>
    <w:p w:rsidR="008E5FD3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3) создание условий для дове</w:t>
      </w:r>
      <w:r>
        <w:rPr>
          <w:rFonts w:ascii="Times New Roman" w:eastAsia="Calibri" w:hAnsi="Times New Roman" w:cs="Times New Roman"/>
          <w:sz w:val="28"/>
          <w:szCs w:val="28"/>
        </w:rPr>
        <w:t>дения обязательных требований до контролируемых лиц</w:t>
      </w:r>
      <w:r w:rsidRPr="00100D80">
        <w:rPr>
          <w:rFonts w:ascii="Times New Roman" w:eastAsia="Calibri" w:hAnsi="Times New Roman" w:cs="Times New Roman"/>
          <w:sz w:val="28"/>
          <w:szCs w:val="28"/>
        </w:rPr>
        <w:t>, повышение информированности о способах 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соблюдения.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100D80">
        <w:rPr>
          <w:rFonts w:ascii="Times New Roman" w:eastAsia="Calibri" w:hAnsi="Times New Roman" w:cs="Times New Roman"/>
          <w:sz w:val="28"/>
          <w:szCs w:val="28"/>
        </w:rPr>
        <w:t>Для достижения целей профилактики рисков причинения вреда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80">
        <w:rPr>
          <w:rFonts w:ascii="Times New Roman" w:eastAsia="Calibri" w:hAnsi="Times New Roman" w:cs="Times New Roman"/>
          <w:sz w:val="28"/>
          <w:szCs w:val="28"/>
        </w:rPr>
        <w:t>(ущерба) охраняемым законом ценностям выполняются следующие задачи: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1) анализ выявленных в результ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ате проведения муниципального </w:t>
      </w:r>
      <w:r w:rsidRPr="00100D80">
        <w:rPr>
          <w:rFonts w:ascii="Times New Roman" w:eastAsia="Calibri" w:hAnsi="Times New Roman" w:cs="Times New Roman"/>
          <w:sz w:val="28"/>
          <w:szCs w:val="28"/>
        </w:rPr>
        <w:t>земельного контроля нарушений обязательных требований;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2) оценка состояния подконтрольной среды (оценка возможной 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розы </w:t>
      </w:r>
      <w:r w:rsidRPr="00100D80">
        <w:rPr>
          <w:rFonts w:ascii="Times New Roman" w:eastAsia="Calibri" w:hAnsi="Times New Roman" w:cs="Times New Roman"/>
          <w:sz w:val="28"/>
          <w:szCs w:val="28"/>
        </w:rPr>
        <w:t>причинения вреда жизни, здоровью граж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дан) и установление зависимости </w:t>
      </w:r>
      <w:r w:rsidRPr="00100D80">
        <w:rPr>
          <w:rFonts w:ascii="Times New Roman" w:eastAsia="Calibri" w:hAnsi="Times New Roman" w:cs="Times New Roman"/>
          <w:sz w:val="28"/>
          <w:szCs w:val="28"/>
        </w:rPr>
        <w:t xml:space="preserve">видов и </w:t>
      </w:r>
      <w:r>
        <w:rPr>
          <w:rFonts w:ascii="Times New Roman" w:eastAsia="Calibri" w:hAnsi="Times New Roman" w:cs="Times New Roman"/>
          <w:sz w:val="28"/>
          <w:szCs w:val="28"/>
        </w:rPr>
        <w:t>интенсивности профилактических м</w:t>
      </w:r>
      <w:r w:rsidRPr="00100D80">
        <w:rPr>
          <w:rFonts w:ascii="Times New Roman" w:eastAsia="Calibri" w:hAnsi="Times New Roman" w:cs="Times New Roman"/>
          <w:sz w:val="28"/>
          <w:szCs w:val="28"/>
        </w:rPr>
        <w:t>ероприятий с учетом состояния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подконтрольной среды;</w:t>
      </w:r>
    </w:p>
    <w:p w:rsidR="008E5FD3" w:rsidRPr="00100D80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D80">
        <w:rPr>
          <w:rFonts w:ascii="Times New Roman" w:eastAsia="Calibri" w:hAnsi="Times New Roman" w:cs="Times New Roman"/>
          <w:sz w:val="28"/>
          <w:szCs w:val="28"/>
        </w:rPr>
        <w:t>3) организация и проведение профил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актических мероприятий с учетом состояния </w:t>
      </w:r>
      <w:r w:rsidRPr="00100D80">
        <w:rPr>
          <w:rFonts w:ascii="Times New Roman" w:eastAsia="Calibri" w:hAnsi="Times New Roman" w:cs="Times New Roman"/>
          <w:sz w:val="28"/>
          <w:szCs w:val="28"/>
        </w:rPr>
        <w:t xml:space="preserve">подконтрольной среды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анализа выявленных в результате </w:t>
      </w:r>
      <w:r w:rsidRPr="00100D80">
        <w:rPr>
          <w:rFonts w:ascii="Times New Roman" w:eastAsia="Calibri" w:hAnsi="Times New Roman" w:cs="Times New Roman"/>
          <w:sz w:val="28"/>
          <w:szCs w:val="28"/>
        </w:rPr>
        <w:t>проведения муниципального земельного контроля нарушений обязательных</w:t>
      </w:r>
    </w:p>
    <w:p w:rsidR="008E5FD3" w:rsidRPr="00227FB4" w:rsidRDefault="00227FB4" w:rsidP="00227FB4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требований.</w:t>
      </w:r>
    </w:p>
    <w:p w:rsidR="008E5FD3" w:rsidRPr="004C4CD1" w:rsidRDefault="008E5FD3" w:rsidP="008E5FD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CD1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профилактических мероприятий, </w:t>
      </w:r>
      <w:r w:rsidRPr="004C4CD1">
        <w:rPr>
          <w:rFonts w:ascii="Times New Roman" w:hAnsi="Times New Roman" w:cs="Times New Roman"/>
          <w:b/>
          <w:bCs/>
          <w:sz w:val="28"/>
          <w:szCs w:val="28"/>
        </w:rPr>
        <w:t>сроки (периодичность) их проведения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представлены в таблице.</w:t>
      </w:r>
    </w:p>
    <w:p w:rsidR="008E5FD3" w:rsidRPr="004C4CD1" w:rsidRDefault="008E5FD3" w:rsidP="008E5FD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3686"/>
        <w:gridCol w:w="2126"/>
        <w:gridCol w:w="1985"/>
      </w:tblGrid>
      <w:tr w:rsidR="008E5FD3" w:rsidRPr="004C4CD1" w:rsidTr="00227FB4">
        <w:trPr>
          <w:trHeight w:val="18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D3" w:rsidRPr="004C4CD1" w:rsidRDefault="008E5FD3" w:rsidP="00A05481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№</w:t>
            </w:r>
          </w:p>
          <w:p w:rsidR="008E5FD3" w:rsidRPr="004C4CD1" w:rsidRDefault="008E5FD3" w:rsidP="00A05481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ind w:firstLine="36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D3" w:rsidRPr="004C4CD1" w:rsidRDefault="008E5FD3" w:rsidP="00A05481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4CD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Подразделение и (или) должностные лица </w:t>
            </w:r>
            <w:r w:rsidRPr="004C4CD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местной администрации</w:t>
            </w:r>
            <w:r w:rsidRPr="004C4CD1">
              <w:rPr>
                <w:rFonts w:ascii="Times New Roman" w:hAnsi="Times New Roman" w:cs="Times New Roman"/>
                <w:b/>
                <w:sz w:val="22"/>
                <w:szCs w:val="22"/>
              </w:rPr>
              <w:t>, ответственные за реализацию мероприятия</w:t>
            </w:r>
          </w:p>
          <w:p w:rsidR="008E5FD3" w:rsidRPr="004C4CD1" w:rsidRDefault="008E5FD3" w:rsidP="00A0548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8E5FD3" w:rsidRPr="004C4CD1" w:rsidTr="00227F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>1.</w:t>
            </w:r>
          </w:p>
          <w:p w:rsidR="008E5FD3" w:rsidRPr="004C4CD1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ind w:firstLine="8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>Информирование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КУМИ</w:t>
            </w: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>По мере необходимости в течение года;</w:t>
            </w:r>
          </w:p>
          <w:p w:rsidR="008E5FD3" w:rsidRPr="004C4CD1" w:rsidRDefault="008E5FD3" w:rsidP="00A054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8E5FD3" w:rsidRPr="004C4CD1" w:rsidTr="00227F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ind w:firstLine="33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FD3" w:rsidRPr="004C4CD1" w:rsidRDefault="008E5FD3" w:rsidP="00A05481">
            <w:pPr>
              <w:widowControl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>Публикация на сайте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Администрации района,</w:t>
            </w: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руководств по соблюдению обязательных требований в сфере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муниципального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 xml:space="preserve">земельного контроля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500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1500AF">
              <w:rPr>
                <w:rFonts w:ascii="Times New Roman" w:hAnsi="Times New Roman" w:cs="Times New Roman"/>
                <w:color w:val="504D4D"/>
                <w:sz w:val="24"/>
                <w:szCs w:val="24"/>
                <w:shd w:val="clear" w:color="auto" w:fill="FFFFFF"/>
              </w:rPr>
              <w:t xml:space="preserve">по вопросам информатизации, </w:t>
            </w:r>
            <w:r w:rsidRPr="001500AF">
              <w:rPr>
                <w:rFonts w:ascii="Times New Roman" w:hAnsi="Times New Roman" w:cs="Times New Roman"/>
                <w:color w:val="504D4D"/>
                <w:sz w:val="24"/>
                <w:szCs w:val="24"/>
                <w:shd w:val="clear" w:color="auto" w:fill="FFFFFF"/>
              </w:rPr>
              <w:lastRenderedPageBreak/>
              <w:t>связи и обслуживанию оргтехники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По мере поступления</w:t>
            </w:r>
          </w:p>
        </w:tc>
      </w:tr>
      <w:tr w:rsidR="008E5FD3" w:rsidRPr="004C4CD1" w:rsidTr="00227FB4">
        <w:trPr>
          <w:trHeight w:val="18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ind w:firstLine="33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D3" w:rsidRPr="004C4CD1" w:rsidRDefault="008E5FD3" w:rsidP="00A05481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hAnsi="Times New Roman" w:cs="Times New Roman"/>
                <w:sz w:val="22"/>
                <w:szCs w:val="22"/>
              </w:rPr>
              <w:t>Размещение и поддержание в актуальном состоянии на сайте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района</w:t>
            </w:r>
            <w:r w:rsidRPr="004C4CD1">
              <w:rPr>
                <w:rFonts w:ascii="Times New Roman" w:hAnsi="Times New Roman" w:cs="Times New Roman"/>
                <w:sz w:val="22"/>
                <w:szCs w:val="22"/>
              </w:rPr>
              <w:t xml:space="preserve"> в сети "Интернет" информации, перечень которой предусмотрен п.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3.6 </w:t>
            </w:r>
            <w:r w:rsidRPr="004C4CD1">
              <w:rPr>
                <w:rFonts w:ascii="Times New Roman" w:hAnsi="Times New Roman" w:cs="Times New Roman"/>
                <w:sz w:val="22"/>
                <w:szCs w:val="22"/>
              </w:rPr>
              <w:t>Положения о виде контроля</w:t>
            </w:r>
          </w:p>
          <w:p w:rsidR="008E5FD3" w:rsidRPr="004C4CD1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D3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КУМИ,</w:t>
            </w:r>
          </w:p>
          <w:p w:rsidR="008E5FD3" w:rsidRPr="001500AF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</w:t>
            </w:r>
            <w:r w:rsidRPr="001500AF">
              <w:rPr>
                <w:rFonts w:ascii="Times New Roman" w:hAnsi="Times New Roman" w:cs="Times New Roman"/>
                <w:color w:val="504D4D"/>
                <w:sz w:val="24"/>
                <w:szCs w:val="24"/>
                <w:shd w:val="clear" w:color="auto" w:fill="FFFFFF"/>
              </w:rPr>
              <w:t>по вопросам информатизации, связи и обслуживанию оргтехники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>По мере обновления</w:t>
            </w:r>
          </w:p>
        </w:tc>
      </w:tr>
      <w:tr w:rsidR="008E5FD3" w:rsidRPr="004C4CD1" w:rsidTr="00227FB4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D3" w:rsidRPr="004C4CD1" w:rsidRDefault="008E5FD3" w:rsidP="00A05481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>Обобщение и анализ правоприменительной практики контрольно-надзорной деятельности в сфере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муниципального земельного </w:t>
            </w: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с классификацией причин возникновения типовых нарушений обязательных требований и размещение утвержденного д</w:t>
            </w:r>
            <w:r w:rsidRPr="004C4CD1">
              <w:rPr>
                <w:rFonts w:ascii="Times New Roman" w:hAnsi="Times New Roman" w:cs="Times New Roman"/>
                <w:sz w:val="22"/>
                <w:szCs w:val="22"/>
              </w:rPr>
              <w:t xml:space="preserve">оклада о правоприменительной практике на сайте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  <w:r w:rsidRPr="004C4CD1">
              <w:rPr>
                <w:rFonts w:ascii="Times New Roman" w:hAnsi="Times New Roman" w:cs="Times New Roman"/>
                <w:sz w:val="22"/>
                <w:szCs w:val="22"/>
              </w:rPr>
              <w:t>в срок, не превышающий 5 рабочих дней со дня утверждения доклада.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D3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КУМИ,</w:t>
            </w:r>
          </w:p>
          <w:p w:rsidR="008E5FD3" w:rsidRPr="004C4CD1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500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</w:t>
            </w:r>
            <w:r w:rsidRPr="001500AF">
              <w:rPr>
                <w:rFonts w:ascii="Times New Roman" w:hAnsi="Times New Roman" w:cs="Times New Roman"/>
                <w:color w:val="504D4D"/>
                <w:sz w:val="24"/>
                <w:szCs w:val="24"/>
                <w:shd w:val="clear" w:color="auto" w:fill="FFFFFF"/>
              </w:rPr>
              <w:t>по вопросам информатизации, связи и обслуживанию оргтехники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Ежегодно (не позднее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01 июля</w:t>
            </w: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>, следующего за годом обобщения правоприменительной практики)</w:t>
            </w:r>
            <w:r w:rsidRPr="004C4CD1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8E5FD3" w:rsidRPr="004C4CD1" w:rsidTr="00227F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D3" w:rsidRPr="00C936C4" w:rsidRDefault="008E5FD3" w:rsidP="00A054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936C4">
              <w:rPr>
                <w:rFonts w:ascii="Times New Roman" w:eastAsia="Calibri" w:hAnsi="Times New Roman" w:cs="Times New Roman"/>
                <w:sz w:val="22"/>
                <w:szCs w:val="22"/>
              </w:rPr>
              <w:t>Объявление предостережений о недопустимости нарушения обязательных требований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D3" w:rsidRPr="00C936C4" w:rsidRDefault="008E5FD3" w:rsidP="00A05481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936C4">
              <w:rPr>
                <w:rFonts w:ascii="Times New Roman" w:eastAsia="Calibri" w:hAnsi="Times New Roman" w:cs="Times New Roman"/>
                <w:sz w:val="22"/>
                <w:szCs w:val="22"/>
              </w:rPr>
              <w:t>Подготовка и объявление контролируемым лицам предостережений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D3" w:rsidRPr="004C4CD1" w:rsidRDefault="008E5FD3" w:rsidP="00A05481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КУМИ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 мере выявления готовящихся нарушений обязательных требований</w:t>
            </w:r>
          </w:p>
        </w:tc>
      </w:tr>
      <w:tr w:rsidR="008E5FD3" w:rsidRPr="004C4CD1" w:rsidTr="00227FB4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ind w:firstLine="34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>Консультирование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FD3" w:rsidRPr="004C4CD1" w:rsidRDefault="008E5FD3" w:rsidP="00A05481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Проведение должностными лицами </w:t>
            </w:r>
            <w:r w:rsidRPr="001500AF">
              <w:rPr>
                <w:rFonts w:ascii="Times New Roman" w:eastAsia="Calibri" w:hAnsi="Times New Roman" w:cs="Times New Roman"/>
                <w:sz w:val="22"/>
                <w:szCs w:val="22"/>
              </w:rPr>
              <w:t>Комитета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консультаций по вопросам муниципального земельного контроля </w:t>
            </w: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осуществляется посредствам </w:t>
            </w:r>
            <w:r w:rsidRPr="004C4CD1">
              <w:rPr>
                <w:rFonts w:ascii="Times New Roman" w:hAnsi="Times New Roman" w:cs="Times New Roman"/>
                <w:sz w:val="22"/>
                <w:szCs w:val="22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7" w:history="1">
              <w:r w:rsidRPr="004C4CD1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4C4CD1">
              <w:rPr>
                <w:rFonts w:ascii="Times New Roman" w:hAnsi="Times New Roman" w:cs="Times New Roman"/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  <w:r w:rsidRPr="004C4CD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D3" w:rsidRPr="004C4CD1" w:rsidRDefault="008E5FD3" w:rsidP="00A05481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КУМИ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3" w:rsidRPr="004C4CD1" w:rsidRDefault="008E5FD3" w:rsidP="00A05481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>В течение года (при наличии оснований)</w:t>
            </w:r>
          </w:p>
          <w:p w:rsidR="008E5FD3" w:rsidRPr="004C4CD1" w:rsidRDefault="008E5FD3" w:rsidP="00A05481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E5FD3" w:rsidRPr="004C4CD1" w:rsidTr="00227F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D3" w:rsidRPr="004C4CD1" w:rsidRDefault="008E5FD3" w:rsidP="00A0548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>Профилактический визит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FD3" w:rsidRPr="004C4CD1" w:rsidRDefault="008E5FD3" w:rsidP="00A05481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Проведение должностными лицами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КУМИ </w:t>
            </w: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информирования контролируемых лиц об обязательных требованиях, предъявляемых к его деятельности либо к принадлежащим ему об</w:t>
            </w:r>
            <w:r w:rsidR="00227FB4">
              <w:rPr>
                <w:rFonts w:ascii="Times New Roman" w:eastAsia="Calibri" w:hAnsi="Times New Roman" w:cs="Times New Roman"/>
                <w:sz w:val="22"/>
                <w:szCs w:val="22"/>
              </w:rPr>
              <w:t>ъектам муниципального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D3" w:rsidRPr="004C4CD1" w:rsidRDefault="008E5FD3" w:rsidP="00A05481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КУМИ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D3" w:rsidRPr="004C4CD1" w:rsidRDefault="008E5FD3" w:rsidP="00A05481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C4CD1">
              <w:rPr>
                <w:rFonts w:ascii="Times New Roman" w:eastAsia="Calibri" w:hAnsi="Times New Roman" w:cs="Times New Roman"/>
                <w:sz w:val="22"/>
                <w:szCs w:val="22"/>
              </w:rPr>
              <w:t>Профилактические визиты подлежат проведению в течение года (при наличии оснований).</w:t>
            </w:r>
          </w:p>
          <w:p w:rsidR="008E5FD3" w:rsidRPr="004C4CD1" w:rsidRDefault="008E5FD3" w:rsidP="00A05481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8E5FD3" w:rsidRPr="004C4CD1" w:rsidRDefault="008E5FD3" w:rsidP="008E5FD3">
      <w:pPr>
        <w:widowControl/>
        <w:tabs>
          <w:tab w:val="left" w:pos="8130"/>
        </w:tabs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ab/>
      </w:r>
    </w:p>
    <w:p w:rsidR="008E5FD3" w:rsidRPr="00D42238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D42238">
        <w:rPr>
          <w:rFonts w:ascii="Times New Roman" w:eastAsia="Calibri" w:hAnsi="Times New Roman" w:cs="Times New Roman"/>
          <w:b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таблицей:</w:t>
      </w:r>
    </w:p>
    <w:p w:rsidR="008E5FD3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полнота информации, размещенной на сайте Администрации в соответствии с частью 3 статьи 46 Федерального закона от 31.07.2020 №248 «О государственном контроле (надзоре) и муниципальном контроле в  Российской Федерации» - 100%;</w:t>
      </w:r>
    </w:p>
    <w:p w:rsidR="008E5FD3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FD3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количество размещений сведений по вопросам соблюдения обязательных требований в средствах массовой информации – 1;</w:t>
      </w:r>
    </w:p>
    <w:p w:rsidR="008E5FD3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FD3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доля случаев объявления предостережений в общем количестве случаев выявления готовящихся нарушений обязательных требований или признаков нарушен</w:t>
      </w:r>
      <w:r w:rsidR="00227FB4">
        <w:rPr>
          <w:rFonts w:ascii="Times New Roman" w:eastAsia="Calibri" w:hAnsi="Times New Roman" w:cs="Times New Roman"/>
          <w:sz w:val="28"/>
          <w:szCs w:val="28"/>
        </w:rPr>
        <w:t>ий обязательных требований – 100</w:t>
      </w:r>
      <w:r>
        <w:rPr>
          <w:rFonts w:ascii="Times New Roman" w:eastAsia="Calibri" w:hAnsi="Times New Roman" w:cs="Times New Roman"/>
          <w:sz w:val="28"/>
          <w:szCs w:val="28"/>
        </w:rPr>
        <w:t>%;</w:t>
      </w:r>
    </w:p>
    <w:p w:rsidR="008E5FD3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FD3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доля случаев нарушения сроков консультирования контролируемых лиц в письменной форме – 0%;</w:t>
      </w:r>
    </w:p>
    <w:p w:rsidR="008E5FD3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FD3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доля случаев повторного обращения контролируемых лиц в письменной форме по тому же вопросу муниципального земельного контроля – 0%;</w:t>
      </w:r>
    </w:p>
    <w:p w:rsidR="008E5FD3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FD3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количество собраний и конференций граждан, на которых осуществлялось консультирование контролируемых лиц по вопросам муниципального земель</w:t>
      </w:r>
      <w:r w:rsidR="00227FB4">
        <w:rPr>
          <w:rFonts w:ascii="Times New Roman" w:eastAsia="Calibri" w:hAnsi="Times New Roman" w:cs="Times New Roman"/>
          <w:sz w:val="28"/>
          <w:szCs w:val="28"/>
        </w:rPr>
        <w:t xml:space="preserve">ного контроля </w:t>
      </w:r>
      <w:r w:rsidR="007E5C5B">
        <w:rPr>
          <w:rFonts w:ascii="Times New Roman" w:eastAsia="Calibri" w:hAnsi="Times New Roman" w:cs="Times New Roman"/>
          <w:sz w:val="28"/>
          <w:szCs w:val="28"/>
        </w:rPr>
        <w:t>в устной форме – 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5FD3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FD3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Под оценкой эффективности программы профилактики понимается оценка изменения количества нарушений обязательных требований, в том числе в отношении земельных участков, отнесенных к категориям среднего и умеренного рисков, по итогам проведенных профилактических мероприятий.</w:t>
      </w:r>
    </w:p>
    <w:p w:rsidR="008E5FD3" w:rsidRPr="00D42238" w:rsidRDefault="008E5FD3" w:rsidP="008E5FD3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E5FD3" w:rsidRPr="00791BFD" w:rsidRDefault="008E5FD3" w:rsidP="008E5F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861" w:rsidRDefault="00782861"/>
    <w:p w:rsidR="00B555F3" w:rsidRDefault="00B555F3"/>
    <w:p w:rsidR="00B555F3" w:rsidRDefault="00B555F3"/>
    <w:p w:rsidR="00B555F3" w:rsidRDefault="00B555F3"/>
    <w:p w:rsidR="00B555F3" w:rsidRDefault="00B555F3"/>
    <w:p w:rsidR="00B555F3" w:rsidRDefault="00B555F3"/>
    <w:p w:rsidR="00B555F3" w:rsidRDefault="00B555F3"/>
    <w:p w:rsidR="00B555F3" w:rsidRDefault="00B555F3"/>
    <w:p w:rsidR="00B555F3" w:rsidRDefault="00B555F3"/>
    <w:p w:rsidR="00B555F3" w:rsidRDefault="00B555F3"/>
    <w:p w:rsidR="00B555F3" w:rsidRDefault="00B555F3"/>
    <w:p w:rsidR="00B555F3" w:rsidRDefault="00B555F3"/>
    <w:p w:rsidR="00B555F3" w:rsidRDefault="00B555F3"/>
    <w:p w:rsidR="00B555F3" w:rsidRPr="00A07CAD" w:rsidRDefault="00B555F3" w:rsidP="00B555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61"/>
      <w:bookmarkEnd w:id="1"/>
      <w:r w:rsidRPr="00A07CAD">
        <w:rPr>
          <w:rFonts w:ascii="Times New Roman" w:hAnsi="Times New Roman" w:cs="Times New Roman"/>
          <w:sz w:val="28"/>
          <w:szCs w:val="28"/>
        </w:rPr>
        <w:lastRenderedPageBreak/>
        <w:t>Уведомление</w:t>
      </w:r>
    </w:p>
    <w:p w:rsidR="00B555F3" w:rsidRPr="00A07CAD" w:rsidRDefault="00B555F3" w:rsidP="00B555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проектов нормативных правовых актов</w:t>
      </w:r>
    </w:p>
    <w:p w:rsidR="00B555F3" w:rsidRPr="00A07CAD" w:rsidRDefault="00B555F3" w:rsidP="00B555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555F3" w:rsidRDefault="00B555F3" w:rsidP="00B555F3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07CA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CAD">
        <w:rPr>
          <w:rFonts w:ascii="Times New Roman" w:hAnsi="Times New Roman" w:cs="Times New Roman"/>
          <w:sz w:val="28"/>
          <w:szCs w:val="28"/>
        </w:rPr>
        <w:t>1. Вид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CAD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муниципального района Похвистневский. </w:t>
      </w:r>
    </w:p>
    <w:p w:rsidR="00B555F3" w:rsidRDefault="00B555F3" w:rsidP="00B555F3">
      <w:pPr>
        <w:jc w:val="both"/>
        <w:rPr>
          <w:rFonts w:ascii="Times New Roman" w:hAnsi="Times New Roman" w:cs="Times New Roman"/>
          <w:sz w:val="28"/>
          <w:szCs w:val="28"/>
        </w:rPr>
      </w:pPr>
      <w:r w:rsidRPr="00A07CA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CAD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CAD">
        <w:rPr>
          <w:rFonts w:ascii="Times New Roman" w:hAnsi="Times New Roman" w:cs="Times New Roman"/>
          <w:sz w:val="28"/>
          <w:szCs w:val="28"/>
        </w:rPr>
        <w:t>Наименование проекта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555F3" w:rsidRDefault="00B555F3" w:rsidP="00B555F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A07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«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профилактики 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рисков причинения вреда (ущерба) охраняемым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законом ценностям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сфере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земельного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контроля</w:t>
      </w:r>
      <w:r w:rsidRPr="008A690D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в границах 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Похвистневский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555F3">
        <w:rPr>
          <w:rFonts w:ascii="Times New Roman" w:hAnsi="Times New Roman" w:cs="Times New Roman"/>
          <w:iCs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2026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B555F3" w:rsidRDefault="00B555F3" w:rsidP="00B555F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-  Постановление «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рограммы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профилактики 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рисков</w:t>
      </w:r>
      <w:proofErr w:type="gramEnd"/>
      <w:r w:rsidRPr="008A69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ричинения вреда (ущерба) охраняемым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законом ценностям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сфере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жилищного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контроля</w:t>
      </w:r>
      <w:r w:rsidRPr="008A690D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на территории </w:t>
      </w:r>
      <w:r w:rsidRPr="008A690D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Похвистневский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A690D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2026</w:t>
      </w:r>
      <w:r w:rsidRPr="008A69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B555F3" w:rsidRDefault="00B555F3" w:rsidP="00B555F3">
      <w:pPr>
        <w:jc w:val="both"/>
        <w:rPr>
          <w:rFonts w:ascii="Times New Roman" w:hAnsi="Times New Roman" w:cs="Times New Roman"/>
          <w:sz w:val="28"/>
          <w:szCs w:val="28"/>
        </w:rPr>
      </w:pPr>
      <w:r w:rsidRPr="00A07CAD">
        <w:rPr>
          <w:rFonts w:ascii="Times New Roman" w:hAnsi="Times New Roman" w:cs="Times New Roman"/>
          <w:sz w:val="28"/>
          <w:szCs w:val="28"/>
        </w:rPr>
        <w:t xml:space="preserve">        3. Планируемый сро</w:t>
      </w:r>
      <w:r>
        <w:rPr>
          <w:rFonts w:ascii="Times New Roman" w:hAnsi="Times New Roman" w:cs="Times New Roman"/>
          <w:sz w:val="28"/>
          <w:szCs w:val="28"/>
        </w:rPr>
        <w:t xml:space="preserve">к вступления в силу нормативных правовых актов </w:t>
      </w:r>
      <w:r w:rsidRPr="00A07CA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6 декабря 2025 год.</w:t>
      </w:r>
    </w:p>
    <w:p w:rsidR="00B555F3" w:rsidRPr="00A07CAD" w:rsidRDefault="00B555F3" w:rsidP="00B555F3">
      <w:pPr>
        <w:jc w:val="both"/>
        <w:rPr>
          <w:rFonts w:ascii="Times New Roman" w:hAnsi="Times New Roman" w:cs="Times New Roman"/>
          <w:sz w:val="28"/>
          <w:szCs w:val="28"/>
        </w:rPr>
      </w:pPr>
      <w:r w:rsidRPr="00A07CA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4. Разработчик проектов нормативных правовых актов</w:t>
      </w:r>
      <w:r w:rsidRPr="00A07CAD">
        <w:rPr>
          <w:rFonts w:ascii="Times New Roman" w:hAnsi="Times New Roman" w:cs="Times New Roman"/>
          <w:sz w:val="28"/>
          <w:szCs w:val="28"/>
        </w:rPr>
        <w:t xml:space="preserve"> - Комитет по управлению муниципальным имуществом Администрации муниципального района Похвистневский. </w:t>
      </w:r>
    </w:p>
    <w:p w:rsidR="00B555F3" w:rsidRDefault="00B555F3" w:rsidP="00B555F3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7CAD">
        <w:rPr>
          <w:rFonts w:ascii="Times New Roman" w:hAnsi="Times New Roman" w:cs="Times New Roman"/>
          <w:sz w:val="28"/>
          <w:szCs w:val="28"/>
        </w:rPr>
        <w:t xml:space="preserve">         5. Обоснование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подготовки проектов нормативных правовых актов </w:t>
      </w:r>
      <w:r w:rsidRPr="00A07CA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требований, укрепление системы профилактики нарушений обязательных требований путем активизации профилактической деятельности, выявление причин, факторов и условий, способствующих нарушениям обязательных требований. Повышение правосознания и правовой культуры руководителей юридических лиц и индивидуальных предпринимателей.</w:t>
      </w:r>
    </w:p>
    <w:p w:rsidR="00B555F3" w:rsidRPr="00D72DA1" w:rsidRDefault="00B555F3" w:rsidP="00B555F3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55F3" w:rsidRDefault="00B555F3" w:rsidP="00B555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07CAD">
        <w:rPr>
          <w:rFonts w:ascii="Times New Roman" w:hAnsi="Times New Roman" w:cs="Times New Roman"/>
          <w:sz w:val="28"/>
          <w:szCs w:val="28"/>
        </w:rPr>
        <w:t>. Круг субъектов, на которых будет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распространено действие проектов нормативных правовых актов</w:t>
      </w:r>
      <w:r w:rsidRPr="00A07CA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юридические лица,</w:t>
      </w:r>
      <w:r w:rsidRPr="00A07CAD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</w:t>
      </w:r>
      <w:r w:rsidRPr="00EA3681">
        <w:rPr>
          <w:rFonts w:ascii="Times New Roman" w:hAnsi="Times New Roman" w:cs="Times New Roman"/>
          <w:sz w:val="28"/>
          <w:szCs w:val="28"/>
        </w:rPr>
        <w:t xml:space="preserve">, осуществляющие </w:t>
      </w:r>
      <w:r>
        <w:rPr>
          <w:rFonts w:ascii="Times New Roman" w:hAnsi="Times New Roman" w:cs="Times New Roman"/>
          <w:sz w:val="28"/>
          <w:szCs w:val="28"/>
        </w:rPr>
        <w:t>предпринимательскую деятельность в муниципальном</w:t>
      </w:r>
      <w:r w:rsidRPr="00EA3681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айоне Похвистневский, граждане.</w:t>
      </w:r>
    </w:p>
    <w:p w:rsidR="00B555F3" w:rsidRPr="00A07CAD" w:rsidRDefault="00B555F3" w:rsidP="00B555F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55F3" w:rsidRDefault="00B555F3" w:rsidP="00B555F3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07CA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07C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07CAD">
        <w:rPr>
          <w:rFonts w:ascii="Times New Roman" w:hAnsi="Times New Roman" w:cs="Times New Roman"/>
          <w:sz w:val="28"/>
          <w:szCs w:val="28"/>
        </w:rPr>
        <w:t>еобходимости в установлении переходного периода не требуется.</w:t>
      </w:r>
    </w:p>
    <w:p w:rsidR="00B555F3" w:rsidRPr="00A07CAD" w:rsidRDefault="00B555F3" w:rsidP="00B555F3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555F3" w:rsidRDefault="00B555F3" w:rsidP="00B555F3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07CA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07CAD">
        <w:rPr>
          <w:rFonts w:ascii="Times New Roman" w:hAnsi="Times New Roman" w:cs="Times New Roman"/>
          <w:sz w:val="28"/>
          <w:szCs w:val="28"/>
        </w:rPr>
        <w:t>. Срок, в течение которого разработчиком проекта принимаются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- со 02.12.2025</w:t>
      </w:r>
      <w:r w:rsidRPr="00A07CA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05.12.2025 </w:t>
      </w:r>
      <w:r w:rsidRPr="00A07CAD">
        <w:rPr>
          <w:rFonts w:ascii="Times New Roman" w:hAnsi="Times New Roman" w:cs="Times New Roman"/>
          <w:sz w:val="28"/>
          <w:szCs w:val="28"/>
        </w:rPr>
        <w:t>год (со дня размещения на официальном сайте настоящего уведомления).</w:t>
      </w:r>
    </w:p>
    <w:p w:rsidR="00B555F3" w:rsidRPr="00A07CAD" w:rsidRDefault="00B555F3" w:rsidP="00B555F3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555F3" w:rsidRDefault="00B555F3" w:rsidP="00526CA1">
      <w:pPr>
        <w:pStyle w:val="ConsPlusNonformat"/>
        <w:tabs>
          <w:tab w:val="left" w:pos="9781"/>
        </w:tabs>
        <w:ind w:right="-1"/>
        <w:jc w:val="both"/>
      </w:pPr>
      <w:r w:rsidRPr="00A07CA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07CAD">
        <w:rPr>
          <w:rFonts w:ascii="Times New Roman" w:hAnsi="Times New Roman" w:cs="Times New Roman"/>
          <w:sz w:val="28"/>
          <w:szCs w:val="28"/>
        </w:rPr>
        <w:t xml:space="preserve">. Контактные данные для направления предложений (ответственное лицо, адрес электронной почты и контактный телефон ответственного лица: </w:t>
      </w:r>
      <w:r>
        <w:rPr>
          <w:rFonts w:ascii="Times New Roman" w:hAnsi="Times New Roman" w:cs="Times New Roman"/>
          <w:sz w:val="28"/>
          <w:szCs w:val="28"/>
        </w:rPr>
        <w:t>Денисова Ольга Александровна</w:t>
      </w:r>
      <w:r w:rsidRPr="00A07CAD">
        <w:rPr>
          <w:rFonts w:ascii="Times New Roman" w:hAnsi="Times New Roman" w:cs="Times New Roman"/>
          <w:sz w:val="28"/>
          <w:szCs w:val="28"/>
        </w:rPr>
        <w:t xml:space="preserve"> – руководитель Комитета по управлению муниципальным имуществом Администрации муниципального района Похвистневский, тел. </w:t>
      </w:r>
      <w:r>
        <w:rPr>
          <w:rFonts w:ascii="Times New Roman" w:hAnsi="Times New Roman" w:cs="Times New Roman"/>
          <w:sz w:val="28"/>
          <w:szCs w:val="28"/>
        </w:rPr>
        <w:t xml:space="preserve">8 846 56 </w:t>
      </w:r>
      <w:r w:rsidRPr="00A07CAD">
        <w:rPr>
          <w:rFonts w:ascii="Times New Roman" w:hAnsi="Times New Roman" w:cs="Times New Roman"/>
          <w:sz w:val="28"/>
          <w:szCs w:val="28"/>
        </w:rPr>
        <w:t xml:space="preserve">22871, </w:t>
      </w:r>
      <w:proofErr w:type="spellStart"/>
      <w:r w:rsidRPr="00A07CAD">
        <w:rPr>
          <w:rFonts w:ascii="Times New Roman" w:hAnsi="Times New Roman" w:cs="Times New Roman"/>
          <w:sz w:val="28"/>
          <w:szCs w:val="28"/>
          <w:lang w:val="en-US"/>
        </w:rPr>
        <w:t>pohr</w:t>
      </w:r>
      <w:proofErr w:type="spellEnd"/>
      <w:r w:rsidRPr="00A07CAD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A07CAD"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 w:rsidRPr="00A07CA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07CA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7CA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sectPr w:rsidR="00B555F3" w:rsidSect="00CD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95A" w:rsidRDefault="006D495A" w:rsidP="008E5FD3">
      <w:r>
        <w:separator/>
      </w:r>
    </w:p>
  </w:endnote>
  <w:endnote w:type="continuationSeparator" w:id="0">
    <w:p w:rsidR="006D495A" w:rsidRDefault="006D495A" w:rsidP="008E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95A" w:rsidRDefault="006D495A" w:rsidP="008E5FD3">
      <w:r>
        <w:separator/>
      </w:r>
    </w:p>
  </w:footnote>
  <w:footnote w:type="continuationSeparator" w:id="0">
    <w:p w:rsidR="006D495A" w:rsidRDefault="006D495A" w:rsidP="008E5FD3">
      <w:r>
        <w:continuationSeparator/>
      </w:r>
    </w:p>
  </w:footnote>
  <w:footnote w:id="1">
    <w:p w:rsidR="008E5FD3" w:rsidRDefault="008E5FD3" w:rsidP="008E5FD3">
      <w:pPr>
        <w:pStyle w:val="a3"/>
      </w:pPr>
    </w:p>
  </w:footnote>
  <w:footnote w:id="2">
    <w:p w:rsidR="008E5FD3" w:rsidRDefault="008E5FD3" w:rsidP="008E5FD3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24"/>
    <w:rsid w:val="00227FB4"/>
    <w:rsid w:val="00313747"/>
    <w:rsid w:val="00526CA1"/>
    <w:rsid w:val="006D495A"/>
    <w:rsid w:val="00747284"/>
    <w:rsid w:val="00760163"/>
    <w:rsid w:val="00782861"/>
    <w:rsid w:val="007E5C5B"/>
    <w:rsid w:val="008E5FD3"/>
    <w:rsid w:val="00B555F3"/>
    <w:rsid w:val="00B67624"/>
    <w:rsid w:val="00F5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DE7D"/>
  <w15:docId w15:val="{3A117FD0-ACF6-4A48-8532-2474567B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8E5FD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2 Знак"/>
    <w:link w:val="20"/>
    <w:locked/>
    <w:rsid w:val="008E5FD3"/>
  </w:style>
  <w:style w:type="paragraph" w:styleId="20">
    <w:name w:val="Body Text 2"/>
    <w:basedOn w:val="a"/>
    <w:link w:val="2"/>
    <w:rsid w:val="008E5FD3"/>
    <w:pPr>
      <w:widowControl/>
      <w:adjustRightInd/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8E5FD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8E5FD3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4">
    <w:name w:val="Текст сноски Знак"/>
    <w:basedOn w:val="a0"/>
    <w:link w:val="a3"/>
    <w:rsid w:val="008E5F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27F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7FB4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27F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7FB4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5C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5C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555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379AAFAA1D100E328F2BAF8EED5A2F2B76C9320D2F17931C22AAB6D3F68CA0190E3892E5C305E8C6BBD71DFE0039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Org_otdel_NPA</cp:lastModifiedBy>
  <cp:revision>7</cp:revision>
  <cp:lastPrinted>2025-12-08T05:47:00Z</cp:lastPrinted>
  <dcterms:created xsi:type="dcterms:W3CDTF">2025-12-01T07:17:00Z</dcterms:created>
  <dcterms:modified xsi:type="dcterms:W3CDTF">2025-12-08T05:52:00Z</dcterms:modified>
</cp:coreProperties>
</file>