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31.07.2025 N 270-ФЗ</w:t>
              <w:br/>
              <w:t xml:space="preserve">"О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2025 года</w:t>
            </w:r>
          </w:p>
        </w:tc>
        <w:tc>
          <w:tcPr>
            <w:tcW w:w="5103" w:type="dxa"/>
            <w:tcBorders>
              <w:top w:val="nil"/>
              <w:left w:val="nil"/>
              <w:bottom w:val="nil"/>
              <w:right w:val="nil"/>
            </w:tcBorders>
          </w:tcPr>
          <w:p>
            <w:pPr>
              <w:pStyle w:val="0"/>
              <w:jc w:val="right"/>
            </w:pPr>
            <w:r>
              <w:rPr>
                <w:sz w:val="20"/>
              </w:rPr>
              <w:t xml:space="preserve">N 270-ФЗ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июля 2025 года</w:t>
      </w:r>
    </w:p>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hyperlink w:history="0" r:id="rId7" w:tooltip="Федеральный закон от 13.12.1996 N 150-ФЗ (ред. от 31.07.2025) &quot;Об оружии&quot; {КонсультантПлюс}">
        <w:r>
          <w:rPr>
            <w:sz w:val="20"/>
            <w:color w:val="0000ff"/>
          </w:rPr>
          <w:t xml:space="preserve">Статью 23</w:t>
        </w:r>
      </w:hyperlink>
      <w:r>
        <w:rPr>
          <w:sz w:val="20"/>
        </w:rPr>
        <w:t xml:space="preserve"> Федерального закона от 13 декабря 1996 года N 150-ФЗ "Об оружии" (Собрание законодательства Российской Федерации, 1996, N 51, ст. 5681; 2017, N 27, ст. 3948) дополнить частью второй следующего содержания:</w:t>
      </w:r>
    </w:p>
    <w:p>
      <w:pPr>
        <w:pStyle w:val="0"/>
        <w:spacing w:before="200" w:line-rule="auto"/>
        <w:ind w:firstLine="540"/>
        <w:jc w:val="both"/>
      </w:pPr>
      <w:r>
        <w:rPr>
          <w:sz w:val="20"/>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 совершение юридически значимых действий в сфере оборота оружия взимается государственная пошлина в порядке, установленном законодательством Российской Федерации о налогах и сборах.".</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Внести в </w:t>
      </w:r>
      <w:hyperlink w:history="0" r:id="rId8"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пункт 1 статьи 19</w:t>
        </w:r>
      </w:hyperlink>
      <w:r>
        <w:rPr>
          <w:sz w:val="20"/>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 2006, N 30, ст. 3286; 2009, N 52, ст. 6450; 2011, N 17, ст. 2318; N 47, ст. 6608; 2013, N 30, ст. 4036; 2019, N 31, ст. 4416; 2021, N 1, ст. 56; 2022, N 29, ст. 5324) следующие изменения:</w:t>
      </w:r>
    </w:p>
    <w:p>
      <w:pPr>
        <w:pStyle w:val="0"/>
        <w:spacing w:before="200" w:line-rule="auto"/>
        <w:ind w:firstLine="540"/>
        <w:jc w:val="both"/>
      </w:pPr>
      <w:r>
        <w:rPr>
          <w:sz w:val="20"/>
        </w:rPr>
        <w:t xml:space="preserve">1) </w:t>
      </w:r>
      <w:hyperlink w:history="0" r:id="rId9"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дополнить</w:t>
        </w:r>
      </w:hyperlink>
      <w:r>
        <w:rPr>
          <w:sz w:val="20"/>
        </w:rPr>
        <w:t xml:space="preserve"> подпунктами 3.1 и 3.2 следующего содержания:</w:t>
      </w:r>
    </w:p>
    <w:p>
      <w:pPr>
        <w:pStyle w:val="0"/>
        <w:spacing w:before="200" w:line-rule="auto"/>
        <w:ind w:firstLine="540"/>
        <w:jc w:val="both"/>
      </w:pPr>
      <w:r>
        <w:rPr>
          <w:sz w:val="20"/>
        </w:rPr>
        <w:t xml:space="preserve">"3.1) за выдачу дубликатов разрешений на привлечение и использование иностранных работников, а также за внесение изменений в сведения, содержащиеся в разрешениях на привлечение и использование иностранных работников; за выдачу дубликата разрешения на работу иностранного гражданина, а также за внесение изменений в сведения, содержащиеся в разрешении на работу иностранного гражданина;</w:t>
      </w:r>
    </w:p>
    <w:p>
      <w:pPr>
        <w:pStyle w:val="0"/>
        <w:spacing w:before="200" w:line-rule="auto"/>
        <w:ind w:firstLine="540"/>
        <w:jc w:val="both"/>
      </w:pPr>
      <w:r>
        <w:rPr>
          <w:sz w:val="20"/>
        </w:rPr>
        <w:t xml:space="preserve">3.2) за продление срока действия разрешения на работу иностранного гражданина;";</w:t>
      </w:r>
    </w:p>
    <w:p>
      <w:pPr>
        <w:pStyle w:val="0"/>
        <w:spacing w:before="200" w:line-rule="auto"/>
        <w:ind w:firstLine="540"/>
        <w:jc w:val="both"/>
      </w:pPr>
      <w:r>
        <w:rPr>
          <w:sz w:val="20"/>
        </w:rPr>
        <w:t xml:space="preserve">2) в </w:t>
      </w:r>
      <w:hyperlink w:history="0" r:id="rId10"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подпункте 4</w:t>
        </w:r>
      </w:hyperlink>
      <w:r>
        <w:rPr>
          <w:sz w:val="20"/>
        </w:rPr>
        <w:t xml:space="preserve"> слова "за исключением случая," заменить словами "за исключением случаев, когда срок временного пребывания иностранного гражданина определяется сроком действия визы, а также случая,";</w:t>
      </w:r>
    </w:p>
    <w:p>
      <w:pPr>
        <w:pStyle w:val="0"/>
        <w:spacing w:before="200" w:line-rule="auto"/>
        <w:ind w:firstLine="540"/>
        <w:jc w:val="both"/>
      </w:pPr>
      <w:r>
        <w:rPr>
          <w:sz w:val="20"/>
        </w:rPr>
        <w:t xml:space="preserve">3) </w:t>
      </w:r>
      <w:hyperlink w:history="0" r:id="rId11"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подпункт 5</w:t>
        </w:r>
      </w:hyperlink>
      <w:r>
        <w:rPr>
          <w:sz w:val="20"/>
        </w:rPr>
        <w:t xml:space="preserve"> изложить в следующей редакции:</w:t>
      </w:r>
    </w:p>
    <w:p>
      <w:pPr>
        <w:pStyle w:val="0"/>
        <w:spacing w:before="200" w:line-rule="auto"/>
        <w:ind w:firstLine="540"/>
        <w:jc w:val="both"/>
      </w:pPr>
      <w:r>
        <w:rPr>
          <w:sz w:val="20"/>
        </w:rPr>
        <w:t xml:space="preserve">"5) за регистрацию иностранного гражданина в Российской Федерации по месту жительства, за исключением лиц, указанных в </w:t>
      </w:r>
      <w:hyperlink w:history="0" r:id="rId12"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лу {КонсультантПлюс}">
        <w:r>
          <w:rPr>
            <w:sz w:val="20"/>
            <w:color w:val="0000ff"/>
          </w:rPr>
          <w:t xml:space="preserve">части 3 статьи 5</w:t>
        </w:r>
      </w:hyperlink>
      <w:r>
        <w:rPr>
          <w:sz w:val="20"/>
        </w:rPr>
        <w:t xml:space="preserve"> Федерального закона от 23 мая 2025 года 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p>
    <w:p>
      <w:pPr>
        <w:pStyle w:val="0"/>
        <w:spacing w:before="200" w:line-rule="auto"/>
        <w:ind w:firstLine="540"/>
        <w:jc w:val="both"/>
      </w:pPr>
      <w:r>
        <w:rPr>
          <w:sz w:val="20"/>
        </w:rPr>
        <w:t xml:space="preserve">4) </w:t>
      </w:r>
      <w:hyperlink w:history="0" r:id="rId13"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0"/>
            <w:color w:val="0000ff"/>
          </w:rPr>
          <w:t xml:space="preserve">дополнить</w:t>
        </w:r>
      </w:hyperlink>
      <w:r>
        <w:rPr>
          <w:sz w:val="20"/>
        </w:rPr>
        <w:t xml:space="preserve"> подпунктами 6 - 8 следующего содержания:</w:t>
      </w:r>
    </w:p>
    <w:p>
      <w:pPr>
        <w:pStyle w:val="0"/>
        <w:spacing w:before="200" w:line-rule="auto"/>
        <w:ind w:firstLine="540"/>
        <w:jc w:val="both"/>
      </w:pPr>
      <w:r>
        <w:rPr>
          <w:sz w:val="20"/>
        </w:rPr>
        <w:t xml:space="preserve">"6) за постановку иностранного гражданина на учет по месту пребывания, за исключением лиц, указанных в </w:t>
      </w:r>
      <w:hyperlink w:history="0" r:id="rId14"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лу {КонсультантПлюс}">
        <w:r>
          <w:rPr>
            <w:sz w:val="20"/>
            <w:color w:val="0000ff"/>
          </w:rPr>
          <w:t xml:space="preserve">части 3 статьи 5</w:t>
        </w:r>
      </w:hyperlink>
      <w:r>
        <w:rPr>
          <w:sz w:val="20"/>
        </w:rPr>
        <w:t xml:space="preserve"> Федерального закона от 23 мая 2025 года 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p>
    <w:p>
      <w:pPr>
        <w:pStyle w:val="0"/>
        <w:spacing w:before="200" w:line-rule="auto"/>
        <w:ind w:firstLine="540"/>
        <w:jc w:val="both"/>
      </w:pPr>
      <w:r>
        <w:rPr>
          <w:sz w:val="20"/>
        </w:rPr>
        <w:t xml:space="preserve">7) за выдачу патента иностранного гражданина либо за переоформление патента;</w:t>
      </w:r>
    </w:p>
    <w:p>
      <w:pPr>
        <w:pStyle w:val="0"/>
        <w:spacing w:before="200" w:line-rule="auto"/>
        <w:ind w:firstLine="540"/>
        <w:jc w:val="both"/>
      </w:pPr>
      <w:r>
        <w:rPr>
          <w:sz w:val="20"/>
        </w:rPr>
        <w:t xml:space="preserve">8) за выдачу дубликата патента иностранного гражданина, а также за внесение изменений в сведения, содержащиеся в патенте иностранного гражданина.".</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Внести в Федеральный </w:t>
      </w:r>
      <w:hyperlink w:history="0" r:id="rId15"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закон</w:t>
        </w:r>
      </w:hyperlink>
      <w:r>
        <w:rPr>
          <w:sz w:val="20"/>
        </w:rPr>
        <w:t xml:space="preserve"> от 18 июля 2006 года N 109-ФЗ "О миграционном учете иностранных граждан и лиц без гражданства в Российской Федерации" (Собрание законодательства Российской Федерации, 2006, N 30, ст. 3285; 2007, N 49, ст. 6071; 2008, N 30, ст. 3589, 3616; 2009, N 29, ст. 3636; 2010, N 21, ст. 2524; N 52, ст. 7000; 2011, N 13, ст. 1689; 2012, N 31, ст. 4322; 2013, N 23, ст. 2866; N 48, ст. 6165; N 51, ст. 6696; N 52, ст. 6950; 2014, N 52, ст. 7557; 2015, N 48, ст. 6724; 2018, N 27, ст. 3946; N 31, ст. 4846; N 42, ст. 6380; N 53, ст. 8454; 2019, N 18, ст. 2224; 2020, N 24, ст. 3756; 2021, N 9, ст. 1469; 2023, N 5, ст. 701; N 18, ст. 3233; 2024, N 1, ст. 29; N 33, ст. 4956) следующие изменения:</w:t>
      </w:r>
    </w:p>
    <w:p>
      <w:pPr>
        <w:pStyle w:val="0"/>
        <w:spacing w:before="200" w:line-rule="auto"/>
        <w:ind w:firstLine="540"/>
        <w:jc w:val="both"/>
      </w:pPr>
      <w:r>
        <w:rPr>
          <w:sz w:val="20"/>
        </w:rPr>
        <w:t xml:space="preserve">1) в </w:t>
      </w:r>
      <w:hyperlink w:history="0" r:id="rId16"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w:t>
      </w:r>
      <w:hyperlink w:history="0" r:id="rId17"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пункт 1 части 3</w:t>
        </w:r>
      </w:hyperlink>
      <w:r>
        <w:rPr>
          <w:sz w:val="20"/>
        </w:rPr>
        <w:t xml:space="preserve"> изложить в следующей редакции:</w:t>
      </w:r>
    </w:p>
    <w:p>
      <w:pPr>
        <w:pStyle w:val="0"/>
        <w:spacing w:before="200" w:line-rule="auto"/>
        <w:ind w:firstLine="540"/>
        <w:jc w:val="both"/>
      </w:pPr>
      <w:r>
        <w:rPr>
          <w:sz w:val="20"/>
        </w:rPr>
        <w:t xml:space="preserve">"1) находится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w:t>
      </w:r>
    </w:p>
    <w:p>
      <w:pPr>
        <w:pStyle w:val="0"/>
        <w:spacing w:before="200" w:line-rule="auto"/>
        <w:ind w:firstLine="540"/>
        <w:jc w:val="both"/>
      </w:pPr>
      <w:r>
        <w:rPr>
          <w:sz w:val="20"/>
        </w:rPr>
        <w:t xml:space="preserve">б) </w:t>
      </w:r>
      <w:hyperlink w:history="0" r:id="rId18"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пункт 5 части 6</w:t>
        </w:r>
      </w:hyperlink>
      <w:r>
        <w:rPr>
          <w:sz w:val="20"/>
        </w:rPr>
        <w:t xml:space="preserve"> изложить в следующей редакции:</w:t>
      </w:r>
    </w:p>
    <w:p>
      <w:pPr>
        <w:pStyle w:val="0"/>
        <w:spacing w:before="200" w:line-rule="auto"/>
        <w:ind w:firstLine="540"/>
        <w:jc w:val="both"/>
      </w:pPr>
      <w:r>
        <w:rPr>
          <w:sz w:val="20"/>
        </w:rPr>
        <w:t xml:space="preserve">"5) иные иностранные граждане, прибывшие в Российскую Федерацию на срок не более семи дней, за исключением случаев нахождения указанных иностранных граждан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w:t>
      </w:r>
    </w:p>
    <w:p>
      <w:pPr>
        <w:pStyle w:val="0"/>
        <w:spacing w:before="200" w:line-rule="auto"/>
        <w:ind w:firstLine="540"/>
        <w:jc w:val="both"/>
      </w:pPr>
      <w:r>
        <w:rPr>
          <w:sz w:val="20"/>
        </w:rPr>
        <w:t xml:space="preserve">2) </w:t>
      </w:r>
      <w:hyperlink w:history="0" r:id="rId19"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пункт 2 части 1 статьи 21</w:t>
        </w:r>
      </w:hyperlink>
      <w:r>
        <w:rPr>
          <w:sz w:val="20"/>
        </w:rPr>
        <w:t xml:space="preserve"> изложить в следующей редакции:</w:t>
      </w:r>
    </w:p>
    <w:p>
      <w:pPr>
        <w:pStyle w:val="0"/>
        <w:spacing w:before="200" w:line-rule="auto"/>
        <w:ind w:firstLine="540"/>
        <w:jc w:val="both"/>
      </w:pPr>
      <w:r>
        <w:rPr>
          <w:sz w:val="20"/>
        </w:rPr>
        <w:t xml:space="preserve">"2) по адресу гостиницы или иного средства размещения, в котором предоставляются услуги средств размещения, организации отдыха детей и их оздоровления или иного помещения, в котором он фактически проживает, либо по адресу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в которой он находится в связи с получением услуг этой организации, либо по адресу учреждения, исполняющего уголовное или административное наказание, в котором он содержится.";</w:t>
      </w:r>
    </w:p>
    <w:p>
      <w:pPr>
        <w:pStyle w:val="0"/>
        <w:spacing w:before="200" w:line-rule="auto"/>
        <w:ind w:firstLine="540"/>
        <w:jc w:val="both"/>
      </w:pPr>
      <w:r>
        <w:rPr>
          <w:sz w:val="20"/>
        </w:rPr>
        <w:t xml:space="preserve">3) в </w:t>
      </w:r>
      <w:hyperlink w:history="0" r:id="rId20"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статье 22</w:t>
        </w:r>
      </w:hyperlink>
      <w:r>
        <w:rPr>
          <w:sz w:val="20"/>
        </w:rPr>
        <w:t xml:space="preserve">:</w:t>
      </w:r>
    </w:p>
    <w:p>
      <w:pPr>
        <w:pStyle w:val="0"/>
        <w:spacing w:before="200" w:line-rule="auto"/>
        <w:ind w:firstLine="540"/>
        <w:jc w:val="both"/>
      </w:pPr>
      <w:r>
        <w:rPr>
          <w:sz w:val="20"/>
        </w:rPr>
        <w:t xml:space="preserve">а) </w:t>
      </w:r>
      <w:hyperlink w:history="0" r:id="rId21"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Подтверждением выполнения принимающей стороной и (или) иностранным гражданином действий, необходимых для его постановки на учет по месту пребывания, является отметка в отрывной части бланка уведомления о прибытии иностранного гражданина в место пребывания, проставляемая в установленном порядке органом миграционного учета, подведомственным предприятием, уполномоченной организацией, гостиницей или иным средством размещения, в котором предоставляются услуги средств размещения, многофункциональным центром или организацией федеральной почтовой связи. В случае, если уведомление о прибытии иностранного гражданина в место пребывания подано в электронной форме, подтверждением выполнения принимающей стороной действий, необходимых для постановки иностранного гражданина на учет по месту пребывания, является отрывная часть бланка указанного уведомления, подписанная усиленной квалифицированной электронной подписью должностного лица органа миграционного учета.";</w:t>
      </w:r>
    </w:p>
    <w:p>
      <w:pPr>
        <w:pStyle w:val="0"/>
        <w:spacing w:before="200" w:line-rule="auto"/>
        <w:ind w:firstLine="540"/>
        <w:jc w:val="both"/>
      </w:pPr>
      <w:r>
        <w:rPr>
          <w:sz w:val="20"/>
        </w:rPr>
        <w:t xml:space="preserve">б) </w:t>
      </w:r>
      <w:hyperlink w:history="0" r:id="rId22"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части 9</w:t>
        </w:r>
      </w:hyperlink>
      <w:r>
        <w:rPr>
          <w:sz w:val="20"/>
        </w:rPr>
        <w:t xml:space="preserve"> и </w:t>
      </w:r>
      <w:hyperlink w:history="0" r:id="rId23"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10</w:t>
        </w:r>
      </w:hyperlink>
      <w:r>
        <w:rPr>
          <w:sz w:val="20"/>
        </w:rPr>
        <w:t xml:space="preserve"> изложить в следующей редакции:</w:t>
      </w:r>
    </w:p>
    <w:p>
      <w:pPr>
        <w:pStyle w:val="0"/>
        <w:spacing w:before="200" w:line-rule="auto"/>
        <w:ind w:firstLine="540"/>
        <w:jc w:val="both"/>
      </w:pPr>
      <w:r>
        <w:rPr>
          <w:sz w:val="20"/>
        </w:rPr>
        <w:t xml:space="preserve">"9. Фиксация сведений об иностранных гражданах, осуществляющих свою трудовую деятельность в условиях работы вахтовым методом, либо находящихся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находящихся в учреждении, исполняющем уголовное или административное наказание, осуществляется администрацией соответствующих организации или учреждения по прибытии и убытии данных иностранных граждан. Указанная фиксация осуществляется для последующего уведомления в установленном порядке соответствующего органа миграционного учета о прибытии и об убытии данных иностранных граждан.</w:t>
      </w:r>
    </w:p>
    <w:p>
      <w:pPr>
        <w:pStyle w:val="0"/>
        <w:spacing w:before="200" w:line-rule="auto"/>
        <w:ind w:firstLine="540"/>
        <w:jc w:val="both"/>
      </w:pPr>
      <w:r>
        <w:rPr>
          <w:sz w:val="20"/>
        </w:rPr>
        <w:t xml:space="preserve">10. При нахождении иностранного гражданина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в учреждении, исполняющем уголовное или административное наказание, уведомление органа миграционного учета администрацией соответствующих организации или учреждения о прибытии данного иностранного гражданина в указанное место пребывания может осуществляться также с использованием входящих в состав сети электросвязи средств связи в порядке и на условиях, которые установлены Правительством Российской Федерации.";</w:t>
      </w:r>
    </w:p>
    <w:p>
      <w:pPr>
        <w:pStyle w:val="0"/>
        <w:spacing w:before="200" w:line-rule="auto"/>
        <w:ind w:firstLine="540"/>
        <w:jc w:val="both"/>
      </w:pPr>
      <w:r>
        <w:rPr>
          <w:sz w:val="20"/>
        </w:rPr>
        <w:t xml:space="preserve">4) в </w:t>
      </w:r>
      <w:hyperlink w:history="0" r:id="rId24"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статье 23</w:t>
        </w:r>
      </w:hyperlink>
      <w:r>
        <w:rPr>
          <w:sz w:val="20"/>
        </w:rPr>
        <w:t xml:space="preserve">:</w:t>
      </w:r>
    </w:p>
    <w:p>
      <w:pPr>
        <w:pStyle w:val="0"/>
        <w:spacing w:before="200" w:line-rule="auto"/>
        <w:ind w:firstLine="540"/>
        <w:jc w:val="both"/>
      </w:pPr>
      <w:r>
        <w:rPr>
          <w:sz w:val="20"/>
        </w:rPr>
        <w:t xml:space="preserve">а) </w:t>
      </w:r>
      <w:hyperlink w:history="0" r:id="rId25"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часть 1.1</w:t>
        </w:r>
      </w:hyperlink>
      <w:r>
        <w:rPr>
          <w:sz w:val="20"/>
        </w:rPr>
        <w:t xml:space="preserve"> изложить в следующей редакции:</w:t>
      </w:r>
    </w:p>
    <w:p>
      <w:pPr>
        <w:pStyle w:val="0"/>
        <w:spacing w:before="200" w:line-rule="auto"/>
        <w:ind w:firstLine="540"/>
        <w:jc w:val="both"/>
      </w:pPr>
      <w:r>
        <w:rPr>
          <w:sz w:val="20"/>
        </w:rPr>
        <w:t xml:space="preserve">"1.1. Снятие иностранного гражданина с учета по прежнему месту пребывания не осуществляется при постановке его на учет по новому месту пребывания по адресу гостиницы или иного средства размещения, в котором предоставляются услуги средств размещения, организации отдыха детей и их оздоровления, за исключением случая, если прежняя постановка данного иностранного гражданина на учет по месту пребывания осуществлена по адресу другой организации из числа указанных в настоящей части.";</w:t>
      </w:r>
    </w:p>
    <w:p>
      <w:pPr>
        <w:pStyle w:val="0"/>
        <w:spacing w:before="200" w:line-rule="auto"/>
        <w:ind w:firstLine="540"/>
        <w:jc w:val="both"/>
      </w:pPr>
      <w:r>
        <w:rPr>
          <w:sz w:val="20"/>
        </w:rPr>
        <w:t xml:space="preserve">б) </w:t>
      </w:r>
      <w:hyperlink w:history="0" r:id="rId26"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части 3</w:t>
        </w:r>
      </w:hyperlink>
      <w:r>
        <w:rPr>
          <w:sz w:val="20"/>
        </w:rPr>
        <w:t xml:space="preserve"> и </w:t>
      </w:r>
      <w:hyperlink w:history="0" r:id="rId27" w:tooltip="Федеральный закон от 18.07.2006 N 109-ФЗ (ред. от 08.08.2024) &quot;О миграционном учете иностранных граждан и лиц без гражданства в Российской Федерации&quot; {КонсультантПлюс}">
        <w:r>
          <w:rPr>
            <w:sz w:val="20"/>
            <w:color w:val="0000ff"/>
          </w:rPr>
          <w:t xml:space="preserve">4</w:t>
        </w:r>
      </w:hyperlink>
      <w:r>
        <w:rPr>
          <w:sz w:val="20"/>
        </w:rPr>
        <w:t xml:space="preserve"> изложить в следующей редакции:</w:t>
      </w:r>
    </w:p>
    <w:p>
      <w:pPr>
        <w:pStyle w:val="0"/>
        <w:spacing w:before="200" w:line-rule="auto"/>
        <w:ind w:firstLine="540"/>
        <w:jc w:val="both"/>
      </w:pPr>
      <w:r>
        <w:rPr>
          <w:sz w:val="20"/>
        </w:rPr>
        <w:t xml:space="preserve">"3. При убытии иностранного гражданина из гостиницы или иного средства размещения, в котором предоставляются услуги средств размещения, из организации отдыха детей и их оздоровления, из медицинской организации, оказывающей медицинскую помощь в стационарных условиях, или из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из учреждения, исполняющего уголовное или административное наказание, администрация указанных организаций обязана не позднее двенадцати часов рабочего дня, следующего за днем убытия данного иностранного гражданина, в установленном порядке уведомить об этом орган миграционного учета.</w:t>
      </w:r>
    </w:p>
    <w:p>
      <w:pPr>
        <w:pStyle w:val="0"/>
        <w:spacing w:before="200" w:line-rule="auto"/>
        <w:ind w:firstLine="540"/>
        <w:jc w:val="both"/>
      </w:pPr>
      <w:r>
        <w:rPr>
          <w:sz w:val="20"/>
        </w:rPr>
        <w:t xml:space="preserve">4. При убытии иностранного гражданина из гостиницы или иного средства размещения, в котором предоставляются услуги средств размещения, из организации отдыха детей и их оздоровления, из медицинской организации, оказывающей медицинскую помощь в стационарных условиях, или из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из учреждения, исполняющего уголовное или административное наказание, уведомление органа миграционного учета администрацией соответствующих организации или учреждения об убытии данного иностранного гражданина из указанного места пребывания может осуществляться также с использованием входящих в состав сети электросвязи средств связи в порядке и на условиях, которые установлены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w:t>
      </w:r>
      <w:hyperlink w:history="0" r:id="rId28" w:tooltip="Федеральный закон от 01.07.2011 N 170-ФЗ (ред. от 19.10.2023)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10.2024) {КонсультантПлюс}">
        <w:r>
          <w:rPr>
            <w:sz w:val="20"/>
            <w:color w:val="0000ff"/>
          </w:rPr>
          <w:t xml:space="preserve">статью 12</w:t>
        </w:r>
      </w:hyperlink>
      <w:r>
        <w:rPr>
          <w:sz w:val="20"/>
        </w:rP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2013, N 27, ст. 3477; 2019, N 23, ст. 2905; 2021, N 24, ст. 4188; 2023, N 1, ст. 41) следующие изменения:</w:t>
      </w:r>
    </w:p>
    <w:p>
      <w:pPr>
        <w:pStyle w:val="0"/>
        <w:spacing w:before="200" w:line-rule="auto"/>
        <w:ind w:firstLine="540"/>
        <w:jc w:val="both"/>
      </w:pPr>
      <w:r>
        <w:rPr>
          <w:sz w:val="20"/>
        </w:rPr>
        <w:t xml:space="preserve">1) </w:t>
      </w:r>
      <w:hyperlink w:history="0" r:id="rId29" w:tooltip="Федеральный закон от 01.07.2011 N 170-ФЗ (ред. от 19.10.2023)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10.2024) {КонсультантПлюс}">
        <w:r>
          <w:rPr>
            <w:sz w:val="20"/>
            <w:color w:val="0000ff"/>
          </w:rPr>
          <w:t xml:space="preserve">часть 3</w:t>
        </w:r>
      </w:hyperlink>
      <w:r>
        <w:rPr>
          <w:sz w:val="20"/>
        </w:rPr>
        <w:t xml:space="preserve"> дополнить пунктом 9 следующего содержания:</w:t>
      </w:r>
    </w:p>
    <w:p>
      <w:pPr>
        <w:pStyle w:val="0"/>
        <w:spacing w:before="200" w:line-rule="auto"/>
        <w:ind w:firstLine="540"/>
        <w:jc w:val="both"/>
      </w:pPr>
      <w:r>
        <w:rPr>
          <w:sz w:val="20"/>
        </w:rPr>
        <w:t xml:space="preserve">"9) информация об уплате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w:t>
      </w:r>
    </w:p>
    <w:p>
      <w:pPr>
        <w:pStyle w:val="0"/>
        <w:spacing w:before="200" w:line-rule="auto"/>
        <w:ind w:firstLine="540"/>
        <w:jc w:val="both"/>
      </w:pPr>
      <w:r>
        <w:rPr>
          <w:sz w:val="20"/>
        </w:rPr>
        <w:t xml:space="preserve">2) в </w:t>
      </w:r>
      <w:hyperlink w:history="0" r:id="rId30" w:tooltip="Федеральный закон от 01.07.2011 N 170-ФЗ (ред. от 19.10.2023)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10.2024) {КонсультантПлюс}">
        <w:r>
          <w:rPr>
            <w:sz w:val="20"/>
            <w:color w:val="0000ff"/>
          </w:rPr>
          <w:t xml:space="preserve">части 4</w:t>
        </w:r>
      </w:hyperlink>
      <w:r>
        <w:rPr>
          <w:sz w:val="20"/>
        </w:rPr>
        <w:t xml:space="preserve"> слова "1, 3, 6, 7 части 3" заменить словами "1, 3, 6, 7, 9 части 3";</w:t>
      </w:r>
    </w:p>
    <w:p>
      <w:pPr>
        <w:pStyle w:val="0"/>
        <w:spacing w:before="200" w:line-rule="auto"/>
        <w:ind w:firstLine="540"/>
        <w:jc w:val="both"/>
      </w:pPr>
      <w:r>
        <w:rPr>
          <w:sz w:val="20"/>
        </w:rPr>
        <w:t xml:space="preserve">3) </w:t>
      </w:r>
      <w:hyperlink w:history="0" r:id="rId31" w:tooltip="Федеральный закон от 01.07.2011 N 170-ФЗ (ред. от 19.10.2023)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10.2024) {КонсультантПлюс}">
        <w:r>
          <w:rPr>
            <w:sz w:val="20"/>
            <w:color w:val="0000ff"/>
          </w:rPr>
          <w:t xml:space="preserve">дополнить</w:t>
        </w:r>
      </w:hyperlink>
      <w:r>
        <w:rPr>
          <w:sz w:val="20"/>
        </w:rPr>
        <w:t xml:space="preserve"> частью 7 следующего содержания:</w:t>
      </w:r>
    </w:p>
    <w:p>
      <w:pPr>
        <w:pStyle w:val="0"/>
        <w:spacing w:before="200" w:line-rule="auto"/>
        <w:ind w:firstLine="540"/>
        <w:jc w:val="both"/>
      </w:pPr>
      <w:r>
        <w:rPr>
          <w:sz w:val="20"/>
        </w:rPr>
        <w:t xml:space="preserve">"7.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взимается государственная пошлина в порядке и размере, установленных законодательством Российской Федерации о налогах и сборах.".</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Внести в </w:t>
      </w:r>
      <w:hyperlink w:history="0" r:id="rId32" w:tooltip="Федеральный закон от 23.05.2025 N 121-ФЗ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лу {КонсультантПлюс}">
        <w:r>
          <w:rPr>
            <w:sz w:val="20"/>
            <w:color w:val="0000ff"/>
          </w:rPr>
          <w:t xml:space="preserve">статью 5</w:t>
        </w:r>
      </w:hyperlink>
      <w:r>
        <w:rPr>
          <w:sz w:val="20"/>
        </w:rPr>
        <w:t xml:space="preserve"> Федерального закона от 23 мая 2025 года 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 (Собрание законодательства Российской Федерации, 2025, N 21, ст. 2542) следующие изменения:</w:t>
      </w:r>
    </w:p>
    <w:p>
      <w:pPr>
        <w:pStyle w:val="0"/>
        <w:spacing w:before="200" w:line-rule="auto"/>
        <w:ind w:firstLine="540"/>
        <w:jc w:val="both"/>
      </w:pPr>
      <w:r>
        <w:rPr>
          <w:sz w:val="20"/>
        </w:rPr>
        <w:t xml:space="preserve">1) в </w:t>
      </w:r>
      <w:hyperlink w:history="0" r:id="rId33" w:tooltip="Федеральный закон от 23.05.2025 N 121-ФЗ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лу {КонсультантПлюс}">
        <w:r>
          <w:rPr>
            <w:sz w:val="20"/>
            <w:color w:val="0000ff"/>
          </w:rPr>
          <w:t xml:space="preserve">части 8</w:t>
        </w:r>
      </w:hyperlink>
      <w:r>
        <w:rPr>
          <w:sz w:val="20"/>
        </w:rPr>
        <w:t xml:space="preserve"> слова "гостинице или иной организации, оказывающей гостиничные услуги, в санатории, доме отдыха, пансионате, детском оздоровительном лагере, на туристской базе, в кемпинге," заменить словами "гостинице или ином средстве размещения, в котором предоставляются услуги средств размещения, организации отдыха детей и их оздоровления,";</w:t>
      </w:r>
    </w:p>
    <w:p>
      <w:pPr>
        <w:pStyle w:val="0"/>
        <w:spacing w:before="200" w:line-rule="auto"/>
        <w:ind w:firstLine="540"/>
        <w:jc w:val="both"/>
      </w:pPr>
      <w:r>
        <w:rPr>
          <w:sz w:val="20"/>
        </w:rPr>
        <w:t xml:space="preserve">2) в </w:t>
      </w:r>
      <w:hyperlink w:history="0" r:id="rId34" w:tooltip="Федеральный закон от 23.05.2025 N 121-ФЗ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 Не вступил в силу {КонсультантПлюс}">
        <w:r>
          <w:rPr>
            <w:sz w:val="20"/>
            <w:color w:val="0000ff"/>
          </w:rPr>
          <w:t xml:space="preserve">части 19</w:t>
        </w:r>
      </w:hyperlink>
      <w:r>
        <w:rPr>
          <w:sz w:val="20"/>
        </w:rPr>
        <w:t xml:space="preserve"> слова "принятия территориальным органом федерального органа исполнительной власти в сфере внутренних дел решения о снятии" заменить словом "снятия".</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сентября 2025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2025 года</w:t>
      </w:r>
    </w:p>
    <w:p>
      <w:pPr>
        <w:pStyle w:val="0"/>
        <w:spacing w:before="200" w:line-rule="auto"/>
      </w:pPr>
      <w:r>
        <w:rPr>
          <w:sz w:val="20"/>
        </w:rPr>
        <w:t xml:space="preserve">N 270-ФЗ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31.07.2025 N 270-ФЗ</w:t>
            <w:br/>
            <w:t>"О внесении изменений в отдельные законодательные акты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1267&amp;dst=232" TargetMode = "External"/>
	<Relationship Id="rId8" Type="http://schemas.openxmlformats.org/officeDocument/2006/relationships/hyperlink" Target="https://login.consultant.ru/link/?req=doc&amp;base=LAW&amp;n=495333&amp;dst=100191" TargetMode = "External"/>
	<Relationship Id="rId9" Type="http://schemas.openxmlformats.org/officeDocument/2006/relationships/hyperlink" Target="https://login.consultant.ru/link/?req=doc&amp;base=LAW&amp;n=495333&amp;dst=100191" TargetMode = "External"/>
	<Relationship Id="rId10" Type="http://schemas.openxmlformats.org/officeDocument/2006/relationships/hyperlink" Target="https://login.consultant.ru/link/?req=doc&amp;base=LAW&amp;n=495333&amp;dst=100195" TargetMode = "External"/>
	<Relationship Id="rId11" Type="http://schemas.openxmlformats.org/officeDocument/2006/relationships/hyperlink" Target="https://login.consultant.ru/link/?req=doc&amp;base=LAW&amp;n=495333&amp;dst=174" TargetMode = "External"/>
	<Relationship Id="rId12" Type="http://schemas.openxmlformats.org/officeDocument/2006/relationships/hyperlink" Target="https://login.consultant.ru/link/?req=doc&amp;base=LAW&amp;n=511128&amp;dst=100065" TargetMode = "External"/>
	<Relationship Id="rId13" Type="http://schemas.openxmlformats.org/officeDocument/2006/relationships/hyperlink" Target="https://login.consultant.ru/link/?req=doc&amp;base=LAW&amp;n=495333&amp;dst=100191" TargetMode = "External"/>
	<Relationship Id="rId14" Type="http://schemas.openxmlformats.org/officeDocument/2006/relationships/hyperlink" Target="https://login.consultant.ru/link/?req=doc&amp;base=LAW&amp;n=511128&amp;dst=100065" TargetMode = "External"/>
	<Relationship Id="rId15" Type="http://schemas.openxmlformats.org/officeDocument/2006/relationships/hyperlink" Target="https://login.consultant.ru/link/?req=doc&amp;base=LAW&amp;n=482708" TargetMode = "External"/>
	<Relationship Id="rId16" Type="http://schemas.openxmlformats.org/officeDocument/2006/relationships/hyperlink" Target="https://login.consultant.ru/link/?req=doc&amp;base=LAW&amp;n=482708&amp;dst=100167" TargetMode = "External"/>
	<Relationship Id="rId17" Type="http://schemas.openxmlformats.org/officeDocument/2006/relationships/hyperlink" Target="https://login.consultant.ru/link/?req=doc&amp;base=LAW&amp;n=482708&amp;dst=88" TargetMode = "External"/>
	<Relationship Id="rId18" Type="http://schemas.openxmlformats.org/officeDocument/2006/relationships/hyperlink" Target="https://login.consultant.ru/link/?req=doc&amp;base=LAW&amp;n=482708&amp;dst=51" TargetMode = "External"/>
	<Relationship Id="rId19" Type="http://schemas.openxmlformats.org/officeDocument/2006/relationships/hyperlink" Target="https://login.consultant.ru/link/?req=doc&amp;base=LAW&amp;n=482708&amp;dst=62" TargetMode = "External"/>
	<Relationship Id="rId20" Type="http://schemas.openxmlformats.org/officeDocument/2006/relationships/hyperlink" Target="https://login.consultant.ru/link/?req=doc&amp;base=LAW&amp;n=482708&amp;dst=100193" TargetMode = "External"/>
	<Relationship Id="rId21" Type="http://schemas.openxmlformats.org/officeDocument/2006/relationships/hyperlink" Target="https://login.consultant.ru/link/?req=doc&amp;base=LAW&amp;n=482708&amp;dst=153" TargetMode = "External"/>
	<Relationship Id="rId22" Type="http://schemas.openxmlformats.org/officeDocument/2006/relationships/hyperlink" Target="https://login.consultant.ru/link/?req=doc&amp;base=LAW&amp;n=482708&amp;dst=52" TargetMode = "External"/>
	<Relationship Id="rId23" Type="http://schemas.openxmlformats.org/officeDocument/2006/relationships/hyperlink" Target="https://login.consultant.ru/link/?req=doc&amp;base=LAW&amp;n=482708&amp;dst=53" TargetMode = "External"/>
	<Relationship Id="rId24" Type="http://schemas.openxmlformats.org/officeDocument/2006/relationships/hyperlink" Target="https://login.consultant.ru/link/?req=doc&amp;base=LAW&amp;n=482708&amp;dst=100209" TargetMode = "External"/>
	<Relationship Id="rId25" Type="http://schemas.openxmlformats.org/officeDocument/2006/relationships/hyperlink" Target="https://login.consultant.ru/link/?req=doc&amp;base=LAW&amp;n=482708&amp;dst=109" TargetMode = "External"/>
	<Relationship Id="rId26" Type="http://schemas.openxmlformats.org/officeDocument/2006/relationships/hyperlink" Target="https://login.consultant.ru/link/?req=doc&amp;base=LAW&amp;n=482708&amp;dst=112" TargetMode = "External"/>
	<Relationship Id="rId27" Type="http://schemas.openxmlformats.org/officeDocument/2006/relationships/hyperlink" Target="https://login.consultant.ru/link/?req=doc&amp;base=LAW&amp;n=482708&amp;dst=55" TargetMode = "External"/>
	<Relationship Id="rId28" Type="http://schemas.openxmlformats.org/officeDocument/2006/relationships/hyperlink" Target="https://login.consultant.ru/link/?req=doc&amp;base=LAW&amp;n=473190&amp;dst=100112" TargetMode = "External"/>
	<Relationship Id="rId29" Type="http://schemas.openxmlformats.org/officeDocument/2006/relationships/hyperlink" Target="https://login.consultant.ru/link/?req=doc&amp;base=LAW&amp;n=473190&amp;dst=100123" TargetMode = "External"/>
	<Relationship Id="rId30" Type="http://schemas.openxmlformats.org/officeDocument/2006/relationships/hyperlink" Target="https://login.consultant.ru/link/?req=doc&amp;base=LAW&amp;n=473190&amp;dst=98" TargetMode = "External"/>
	<Relationship Id="rId31" Type="http://schemas.openxmlformats.org/officeDocument/2006/relationships/hyperlink" Target="https://login.consultant.ru/link/?req=doc&amp;base=LAW&amp;n=473190&amp;dst=100112" TargetMode = "External"/>
	<Relationship Id="rId32" Type="http://schemas.openxmlformats.org/officeDocument/2006/relationships/hyperlink" Target="https://login.consultant.ru/link/?req=doc&amp;base=LAW&amp;n=505834&amp;dst=100059" TargetMode = "External"/>
	<Relationship Id="rId33" Type="http://schemas.openxmlformats.org/officeDocument/2006/relationships/hyperlink" Target="https://login.consultant.ru/link/?req=doc&amp;base=LAW&amp;n=505834&amp;dst=100082" TargetMode = "External"/>
	<Relationship Id="rId34" Type="http://schemas.openxmlformats.org/officeDocument/2006/relationships/hyperlink" Target="https://login.consultant.ru/link/?req=doc&amp;base=LAW&amp;n=505834&amp;dst=10010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31.07.2025 N 270-ФЗ
"О внесении изменений в отдельные законодательные акты Российской Федерации"</dc:title>
  <dcterms:created xsi:type="dcterms:W3CDTF">2025-08-07T07:05:42Z</dcterms:created>
</cp:coreProperties>
</file>