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«УТВЕРЖДАЮ»</w:t>
      </w:r>
    </w:p>
    <w:p w:rsidR="00584F36" w:rsidRPr="00FA152B" w:rsidRDefault="000A20A1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Руководитель</w:t>
      </w:r>
      <w:r w:rsidR="00E8138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>Комитета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по управлению муниципальным имуществом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Администрации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муниципального района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________________/</w:t>
      </w:r>
      <w:proofErr w:type="spellStart"/>
      <w:r w:rsidR="000A20A1">
        <w:rPr>
          <w:rFonts w:ascii="Times New Roman" w:eastAsia="Calibri" w:hAnsi="Times New Roman" w:cs="Times New Roman"/>
          <w:sz w:val="16"/>
          <w:szCs w:val="16"/>
        </w:rPr>
        <w:t>О.А.Денисова</w:t>
      </w:r>
      <w:proofErr w:type="spellEnd"/>
      <w:r w:rsidRPr="00FA152B">
        <w:rPr>
          <w:rFonts w:ascii="Times New Roman" w:eastAsia="Calibri" w:hAnsi="Times New Roman" w:cs="Times New Roman"/>
          <w:sz w:val="16"/>
          <w:szCs w:val="16"/>
        </w:rPr>
        <w:t>/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0A20A1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«___»__________2025</w:t>
      </w:r>
      <w:r w:rsidR="00CF2E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>г.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Д О К У М Е Н Т А 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Ц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И Я</w:t>
      </w: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B0168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 проведен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ии ау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кциона в электронной форме по продаже </w:t>
      </w:r>
      <w:r w:rsidR="00584F36" w:rsidRPr="00FA152B"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  <w:t xml:space="preserve">ставки арендной платы на право заключения договора аренды </w:t>
      </w: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муниципального имущества, находящегося в собственности муниципального района Похвистневский </w:t>
      </w:r>
    </w:p>
    <w:p w:rsidR="001F4D4F" w:rsidRPr="00FA152B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Самарской области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971EF" w:rsidRDefault="004971E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1F4D4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Самарская область </w:t>
      </w:r>
      <w:proofErr w:type="spellStart"/>
      <w:r w:rsidRPr="00FA152B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FA152B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FA152B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</w:p>
    <w:p w:rsidR="001F4D4F" w:rsidRPr="00FA152B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2025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г.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ИНФОРМАЦИОННОЕ СООБЩЕНИЕ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Комитет по управлению муниципальным имуществом Администрации муниципального района Похвистневский в соответствии с постановлением Администрации муниципального района Похвистневский Самарской области от </w:t>
      </w:r>
      <w:r w:rsidR="00F16D29" w:rsidRPr="00F16D29">
        <w:rPr>
          <w:rFonts w:ascii="Times New Roman" w:eastAsia="Calibri" w:hAnsi="Times New Roman" w:cs="Times New Roman"/>
          <w:sz w:val="16"/>
          <w:szCs w:val="16"/>
        </w:rPr>
        <w:t>04</w:t>
      </w:r>
      <w:r w:rsidR="004E1C58" w:rsidRPr="00F16D29">
        <w:rPr>
          <w:rFonts w:ascii="Times New Roman" w:eastAsia="Calibri" w:hAnsi="Times New Roman" w:cs="Times New Roman"/>
          <w:sz w:val="16"/>
          <w:szCs w:val="16"/>
        </w:rPr>
        <w:t>.06.</w:t>
      </w:r>
      <w:r w:rsidR="004E1C58">
        <w:rPr>
          <w:rFonts w:ascii="Times New Roman" w:eastAsia="Calibri" w:hAnsi="Times New Roman" w:cs="Times New Roman"/>
          <w:sz w:val="16"/>
          <w:szCs w:val="16"/>
        </w:rPr>
        <w:t>2025</w:t>
      </w:r>
      <w:r w:rsidR="00874B3C">
        <w:rPr>
          <w:rFonts w:ascii="Times New Roman" w:eastAsia="Calibri" w:hAnsi="Times New Roman" w:cs="Times New Roman"/>
          <w:sz w:val="16"/>
          <w:szCs w:val="16"/>
        </w:rPr>
        <w:t xml:space="preserve"> г. № </w:t>
      </w:r>
      <w:r w:rsidR="00F16D29">
        <w:rPr>
          <w:rFonts w:ascii="Times New Roman" w:eastAsia="Calibri" w:hAnsi="Times New Roman" w:cs="Times New Roman"/>
          <w:sz w:val="16"/>
          <w:szCs w:val="16"/>
        </w:rPr>
        <w:t>397</w:t>
      </w:r>
      <w:r w:rsidR="004E1C58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«О проведении аукциона на право за</w:t>
      </w:r>
      <w:r w:rsidR="002A6D44">
        <w:rPr>
          <w:rFonts w:ascii="Times New Roman" w:eastAsia="Calibri" w:hAnsi="Times New Roman" w:cs="Times New Roman"/>
          <w:sz w:val="16"/>
          <w:szCs w:val="16"/>
        </w:rPr>
        <w:t>ключения договора аренды объектов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недвижимости» объявляет о проведении аукциона в электронной форме по продаже ставки арендной платы на право заключения договора аренды следующего имущества (далее аукцион): </w:t>
      </w:r>
      <w:proofErr w:type="gramEnd"/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Начальная цена продажи (с учетом НДС 20%),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Шаг аукциона – 5% от начальной цены продажи (с учетом НДС),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BE5BFE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задатка – 1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0% от начальной цены продажи (с учетом НДС), руб.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D466CF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E1C58" w:rsidRDefault="00D466CF" w:rsidP="00A2543D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аименование: </w:t>
            </w:r>
            <w:proofErr w:type="spellStart"/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>автогараж</w:t>
            </w:r>
            <w:proofErr w:type="spellEnd"/>
            <w:r w:rsidR="00E8401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площадью 1626,1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16D29">
              <w:rPr>
                <w:rFonts w:ascii="Times New Roman" w:hAnsi="Times New Roman" w:cs="Times New Roman"/>
                <w:sz w:val="16"/>
                <w:szCs w:val="16"/>
              </w:rPr>
              <w:t>63:29:1504003:200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1E4B72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с.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="00874B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ул.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Центральная, 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>д. 14а,</w:t>
            </w:r>
          </w:p>
          <w:p w:rsidR="00584F36" w:rsidRPr="00584F36" w:rsidRDefault="00A2543D" w:rsidP="00F16D29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земельным участком с к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>адас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>тровым номером 63:29:1504003:182, площадью 2311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.,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Самарская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в южной части кадастрового квартала 63:29:1504003,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категория земель: земли населенных пунктов, виды разрешенного использования: </w:t>
            </w:r>
            <w:r w:rsidR="00F16D29">
              <w:rPr>
                <w:rFonts w:ascii="Times New Roman" w:eastAsia="Calibri" w:hAnsi="Times New Roman" w:cs="Times New Roman"/>
                <w:sz w:val="16"/>
                <w:szCs w:val="16"/>
              </w:rPr>
              <w:t>для размещения склада</w:t>
            </w:r>
          </w:p>
        </w:tc>
        <w:tc>
          <w:tcPr>
            <w:tcW w:w="2268" w:type="dxa"/>
            <w:vAlign w:val="center"/>
          </w:tcPr>
          <w:p w:rsidR="00584F36" w:rsidRPr="000E450D" w:rsidRDefault="00F16D29" w:rsidP="00BE5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269 000 (Двести шестьдесят девять тысяч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) руб.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00 коп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F16D29" w:rsidP="00F16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13 45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>Тринадцать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четыреста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пятьдесят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 руб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    00 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BE5BFE" w:rsidP="00193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6D29">
              <w:rPr>
                <w:rFonts w:ascii="Times New Roman" w:hAnsi="Times New Roman" w:cs="Times New Roman"/>
                <w:sz w:val="16"/>
                <w:szCs w:val="16"/>
              </w:rPr>
              <w:t>26 900 (Двадцать шесть тысяч девятьсот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коп.</w:t>
            </w:r>
          </w:p>
        </w:tc>
      </w:tr>
    </w:tbl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5C658F" w:rsidRPr="00D466CF" w:rsidRDefault="005C658F" w:rsidP="00D46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C658F">
        <w:rPr>
          <w:rFonts w:ascii="Times New Roman" w:hAnsi="Times New Roman" w:cs="Times New Roman"/>
          <w:sz w:val="16"/>
          <w:szCs w:val="16"/>
        </w:rPr>
        <w:t>Настоящий аукцион проводится в соответствии с нормами Гражданского кодекса Российской Федерации, Федерального закона от 26 июля 2006г. № 135-ФЗ «О защите конкуренции», приказа Федеральной антимонопольной службы</w:t>
      </w:r>
      <w:r w:rsidR="00CF2E93">
        <w:rPr>
          <w:rFonts w:ascii="Times New Roman" w:hAnsi="Times New Roman" w:cs="Times New Roman"/>
          <w:sz w:val="16"/>
          <w:szCs w:val="16"/>
        </w:rPr>
        <w:t xml:space="preserve"> Российской Федерации от 21 марта 2023 г. № 147/23</w:t>
      </w:r>
      <w:r w:rsidRPr="005C658F">
        <w:rPr>
          <w:rFonts w:ascii="Times New Roman" w:hAnsi="Times New Roman" w:cs="Times New Roman"/>
          <w:sz w:val="16"/>
          <w:szCs w:val="16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или муниципального имущества, и </w:t>
      </w:r>
      <w:proofErr w:type="gramStart"/>
      <w:r w:rsidRPr="005C658F">
        <w:rPr>
          <w:rFonts w:ascii="Times New Roman" w:hAnsi="Times New Roman" w:cs="Times New Roman"/>
          <w:sz w:val="16"/>
          <w:szCs w:val="16"/>
        </w:rPr>
        <w:t>перечне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E4B72">
        <w:rPr>
          <w:rFonts w:ascii="Times New Roman" w:hAnsi="Times New Roman" w:cs="Times New Roman"/>
          <w:sz w:val="16"/>
          <w:szCs w:val="16"/>
        </w:rPr>
        <w:t xml:space="preserve">, </w:t>
      </w:r>
      <w:r w:rsidRPr="00D466CF">
        <w:rPr>
          <w:rFonts w:ascii="Times New Roman" w:hAnsi="Times New Roman" w:cs="Times New Roman"/>
          <w:sz w:val="16"/>
          <w:szCs w:val="16"/>
        </w:rPr>
        <w:t xml:space="preserve">(далее – Порядок). </w:t>
      </w:r>
    </w:p>
    <w:p w:rsidR="00584F36" w:rsidRPr="00D466CF" w:rsidRDefault="00584F36" w:rsidP="00E74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Место и условия проведения аукциона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Аукцион проводится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«</w:t>
      </w:r>
      <w:r w:rsidR="00A71BC1">
        <w:rPr>
          <w:rFonts w:ascii="Times New Roman" w:eastAsia="Calibri" w:hAnsi="Times New Roman" w:cs="Times New Roman"/>
          <w:b/>
          <w:sz w:val="16"/>
          <w:szCs w:val="16"/>
        </w:rPr>
        <w:t>17</w:t>
      </w:r>
      <w:bookmarkStart w:id="0" w:name="_GoBack"/>
      <w:bookmarkEnd w:id="0"/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BE1AA0" w:rsidRPr="007A0DE3">
        <w:rPr>
          <w:rFonts w:ascii="Times New Roman" w:eastAsia="Calibri" w:hAnsi="Times New Roman" w:cs="Times New Roman"/>
          <w:b/>
          <w:sz w:val="16"/>
          <w:szCs w:val="16"/>
        </w:rPr>
        <w:t>июля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202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>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года в 10:00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 часов по московскому времени на электронной площадке </w:t>
      </w:r>
      <w:hyperlink r:id="rId7" w:history="1"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http</w:t>
        </w:r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://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utp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sberbank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-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ast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Собственник имущества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–– 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муниципальное образование муниципальный район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D83B4E">
        <w:rPr>
          <w:rFonts w:ascii="Times New Roman" w:eastAsia="Calibri" w:hAnsi="Times New Roman" w:cs="Times New Roman"/>
          <w:sz w:val="16"/>
          <w:szCs w:val="16"/>
        </w:rPr>
        <w:t xml:space="preserve"> Самарской области.</w:t>
      </w:r>
    </w:p>
    <w:p w:rsidR="005C658F" w:rsidRPr="005C658F" w:rsidRDefault="005C658F" w:rsidP="005C658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C658F">
        <w:rPr>
          <w:rFonts w:ascii="Times New Roman" w:hAnsi="Times New Roman" w:cs="Times New Roman"/>
          <w:sz w:val="16"/>
          <w:szCs w:val="16"/>
        </w:rPr>
        <w:t xml:space="preserve">Предметом аукциона является </w:t>
      </w:r>
      <w:r w:rsidRPr="005C658F">
        <w:rPr>
          <w:rFonts w:ascii="Times New Roman" w:hAnsi="Times New Roman" w:cs="Times New Roman"/>
          <w:bCs/>
          <w:sz w:val="16"/>
          <w:szCs w:val="16"/>
        </w:rPr>
        <w:t>право заключения договор</w:t>
      </w:r>
      <w:r>
        <w:rPr>
          <w:rFonts w:ascii="Times New Roman" w:hAnsi="Times New Roman" w:cs="Times New Roman"/>
          <w:bCs/>
          <w:sz w:val="16"/>
          <w:szCs w:val="16"/>
        </w:rPr>
        <w:t>а</w:t>
      </w:r>
      <w:r w:rsidRPr="005C658F">
        <w:rPr>
          <w:rFonts w:ascii="Times New Roman" w:hAnsi="Times New Roman" w:cs="Times New Roman"/>
          <w:bCs/>
          <w:sz w:val="16"/>
          <w:szCs w:val="16"/>
        </w:rPr>
        <w:t xml:space="preserve"> аренды </w:t>
      </w:r>
      <w:r w:rsidRPr="005C658F">
        <w:rPr>
          <w:rFonts w:ascii="Times New Roman" w:hAnsi="Times New Roman" w:cs="Times New Roman"/>
          <w:sz w:val="16"/>
          <w:szCs w:val="16"/>
        </w:rPr>
        <w:t xml:space="preserve">муниципального имущества.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приема заявок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http</w:t>
      </w:r>
      <w:r w:rsidRPr="00584F36">
        <w:rPr>
          <w:rFonts w:ascii="Times New Roman" w:eastAsia="Calibri" w:hAnsi="Times New Roman" w:cs="Times New Roman"/>
          <w:sz w:val="16"/>
          <w:szCs w:val="16"/>
        </w:rPr>
        <w:t>://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utp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sberbank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-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ast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ru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через оператора ЭП, в соответствии с регламентом ЭП 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с </w:t>
      </w:r>
      <w:r w:rsidR="00193A0E">
        <w:rPr>
          <w:rFonts w:ascii="Times New Roman" w:eastAsia="Calibri" w:hAnsi="Times New Roman" w:cs="Times New Roman"/>
          <w:b/>
          <w:sz w:val="16"/>
          <w:szCs w:val="16"/>
        </w:rPr>
        <w:t>12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час.00 минут «</w:t>
      </w:r>
      <w:r w:rsidR="00A71BC1">
        <w:rPr>
          <w:rFonts w:ascii="Times New Roman" w:eastAsia="Calibri" w:hAnsi="Times New Roman" w:cs="Times New Roman"/>
          <w:b/>
          <w:sz w:val="16"/>
          <w:szCs w:val="16"/>
        </w:rPr>
        <w:t>10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193A0E">
        <w:rPr>
          <w:rFonts w:ascii="Times New Roman" w:eastAsia="Calibri" w:hAnsi="Times New Roman" w:cs="Times New Roman"/>
          <w:b/>
          <w:sz w:val="16"/>
          <w:szCs w:val="16"/>
        </w:rPr>
        <w:t>июня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по 00 час.00 минут «</w:t>
      </w:r>
      <w:r w:rsidR="00A71BC1">
        <w:rPr>
          <w:rFonts w:ascii="Times New Roman" w:eastAsia="Calibri" w:hAnsi="Times New Roman" w:cs="Times New Roman"/>
          <w:b/>
          <w:sz w:val="16"/>
          <w:szCs w:val="16"/>
        </w:rPr>
        <w:t>09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>июля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 xml:space="preserve"> 2025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(время Московское)</w:t>
      </w:r>
      <w:r w:rsidRPr="007A0DE3">
        <w:rPr>
          <w:rFonts w:ascii="Times New Roman" w:eastAsia="Calibri" w:hAnsi="Times New Roman" w:cs="Times New Roman"/>
          <w:sz w:val="16"/>
          <w:szCs w:val="16"/>
        </w:rPr>
        <w:t>. Одно лицо имеет право подать тол</w:t>
      </w:r>
      <w:r w:rsidRPr="00584F36">
        <w:rPr>
          <w:rFonts w:ascii="Times New Roman" w:eastAsia="Calibri" w:hAnsi="Times New Roman" w:cs="Times New Roman"/>
          <w:sz w:val="16"/>
          <w:szCs w:val="16"/>
        </w:rPr>
        <w:t>ько одну заявку.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уведомления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ознакомления с информацией о подлежащей аренде имуществе, в том числе с условиями договора аренды имущества.</w:t>
      </w:r>
    </w:p>
    <w:p w:rsidR="00584F36" w:rsidRDefault="00584F36" w:rsidP="00584F3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sz w:val="16"/>
          <w:szCs w:val="16"/>
        </w:rPr>
        <w:t>С документами, характеризующими арендуемое имущество, можно ознакомиться по рабочим дням с 9:00 до 17:00 со дня начала приема заявок в Комитете  по управлению муниципальным имуществом Администрации муниципального район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а </w:t>
      </w:r>
      <w:proofErr w:type="spellStart"/>
      <w:r w:rsidR="00BE5BFE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 адресу: Самарская область,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ул.Ленинградская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д.9 (1 этаж.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каб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№ </w:t>
      </w:r>
      <w:r w:rsidR="00EA54B4">
        <w:rPr>
          <w:rFonts w:ascii="Times New Roman" w:eastAsia="Calibri" w:hAnsi="Times New Roman" w:cs="Times New Roman"/>
          <w:sz w:val="16"/>
          <w:szCs w:val="16"/>
        </w:rPr>
        <w:t>5,6,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14), </w:t>
      </w:r>
      <w:r w:rsidRPr="00584F36">
        <w:rPr>
          <w:rFonts w:ascii="Times New Roman" w:eastAsia="Calibri" w:hAnsi="Times New Roman" w:cs="Times New Roman"/>
          <w:sz w:val="16"/>
          <w:szCs w:val="16"/>
        </w:rPr>
        <w:t>контактный телефон 8846562</w:t>
      </w:r>
      <w:r w:rsidR="00574796">
        <w:rPr>
          <w:rFonts w:ascii="Times New Roman" w:eastAsia="Calibri" w:hAnsi="Times New Roman" w:cs="Times New Roman"/>
          <w:sz w:val="16"/>
          <w:szCs w:val="16"/>
        </w:rPr>
        <w:t>1248</w:t>
      </w:r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5C658F">
        <w:rPr>
          <w:rFonts w:ascii="Times New Roman" w:eastAsia="Calibri" w:hAnsi="Times New Roman" w:cs="Times New Roman"/>
          <w:sz w:val="16"/>
          <w:szCs w:val="16"/>
        </w:rPr>
        <w:t xml:space="preserve"> С условиями договора заключаемого по итогам проведения продажи можно ознакомиться </w:t>
      </w:r>
      <w:proofErr w:type="gramStart"/>
      <w:r w:rsidR="005C658F">
        <w:rPr>
          <w:rFonts w:ascii="Times New Roman" w:eastAsia="Calibri" w:hAnsi="Times New Roman" w:cs="Times New Roman"/>
          <w:sz w:val="16"/>
          <w:szCs w:val="16"/>
        </w:rPr>
        <w:t>с даты размещения</w:t>
      </w:r>
      <w:proofErr w:type="gramEnd"/>
      <w:r w:rsidR="005C658F">
        <w:rPr>
          <w:rFonts w:ascii="Times New Roman" w:eastAsia="Calibri" w:hAnsi="Times New Roman" w:cs="Times New Roman"/>
          <w:sz w:val="16"/>
          <w:szCs w:val="16"/>
        </w:rPr>
        <w:t xml:space="preserve"> информационного сообщения на официальном сайте Российской Федерации </w:t>
      </w:r>
      <w:hyperlink r:id="rId8" w:history="1"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torgi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gov</w:t>
        </w:r>
        <w:r w:rsidR="005C658F" w:rsidRPr="005C658F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</w:hyperlink>
      <w:r w:rsidR="005C658F">
        <w:rPr>
          <w:rFonts w:ascii="Times New Roman" w:eastAsia="Calibri" w:hAnsi="Times New Roman" w:cs="Times New Roman"/>
          <w:sz w:val="16"/>
          <w:szCs w:val="16"/>
        </w:rPr>
        <w:t xml:space="preserve">, на электронной площадке </w:t>
      </w:r>
      <w:hyperlink r:id="rId9" w:history="1"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utp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sberbank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-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ast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="00A56BBD" w:rsidRPr="00A56BB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56BBD">
        <w:rPr>
          <w:rFonts w:ascii="Times New Roman" w:eastAsia="Calibri" w:hAnsi="Times New Roman" w:cs="Times New Roman"/>
          <w:sz w:val="16"/>
          <w:szCs w:val="16"/>
        </w:rPr>
        <w:t>до даты окончания срока приема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 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584F36" w:rsidRPr="00584F36" w:rsidRDefault="00A56BBD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Т</w:t>
      </w:r>
      <w:r w:rsidR="00584F36" w:rsidRPr="00584F36">
        <w:rPr>
          <w:rFonts w:ascii="Times New Roman" w:eastAsia="Calibri" w:hAnsi="Times New Roman" w:cs="Times New Roman"/>
          <w:b/>
          <w:sz w:val="16"/>
          <w:szCs w:val="16"/>
        </w:rPr>
        <w:t>ребования, предъявляемые к участникам аукциона</w:t>
      </w:r>
    </w:p>
    <w:p w:rsidR="00584F36" w:rsidRPr="00584F36" w:rsidRDefault="00584F36" w:rsidP="00BE5BFE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  <w:t>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 Организатор аукциона устанавливает требование о внесении задатка в размере </w:t>
      </w:r>
      <w:r w:rsidR="002B752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0% от начальной (минимальной) цены договора. Требование о внесении задатка в равной мере распространяется на всех участников аукциона.</w:t>
      </w:r>
    </w:p>
    <w:p w:rsidR="00691DF6" w:rsidRDefault="00691DF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584F36" w:rsidRPr="00584F36" w:rsidRDefault="00584F3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bCs/>
          <w:sz w:val="16"/>
          <w:szCs w:val="16"/>
        </w:rPr>
        <w:t>Условия допуска к участию в аукционе.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1. 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 (далее - заявитель).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2. Заявитель не допускается к участию в аукционе в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1) непредставления документов,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определенных установленными требованиями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, либо наличия в таких документах недостоверных сведений;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2) невнесения задатка;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3)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4)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Документы, представляемые для участия в аукционе</w:t>
      </w:r>
    </w:p>
    <w:p w:rsidR="00584F36" w:rsidRPr="00584F36" w:rsidRDefault="00584F36" w:rsidP="00584F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претенденты представляют следующие документы:</w:t>
      </w:r>
    </w:p>
    <w:p w:rsidR="00584F36" w:rsidRDefault="00584F36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юридические лица:</w:t>
      </w:r>
    </w:p>
    <w:p w:rsidR="00D25378" w:rsidRPr="00584F36" w:rsidRDefault="00BE5BFE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заверенные копии учредительных документов;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5378" w:rsidRDefault="00A56BBD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физические лица</w:t>
      </w:r>
      <w:r w:rsidR="00D25378">
        <w:rPr>
          <w:rFonts w:ascii="Times New Roman" w:eastAsia="Calibri" w:hAnsi="Times New Roman" w:cs="Times New Roman"/>
          <w:b/>
          <w:i/>
          <w:sz w:val="16"/>
          <w:szCs w:val="16"/>
        </w:rPr>
        <w:t>:</w:t>
      </w:r>
    </w:p>
    <w:p w:rsidR="00D25378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</w:t>
      </w:r>
      <w:r w:rsidR="00BE5BFE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</w:t>
      </w:r>
      <w:r w:rsidR="00BE5BFE"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</w:t>
      </w:r>
      <w:r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-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документ, удостоверяющий личность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(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копии всех его листов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.</w:t>
      </w:r>
      <w:r>
        <w:rPr>
          <w:rFonts w:ascii="Times New Roman" w:eastAsia="Calibri" w:hAnsi="Times New Roman" w:cs="Times New Roman"/>
          <w:sz w:val="16"/>
          <w:szCs w:val="16"/>
        </w:rPr>
        <w:tab/>
      </w:r>
    </w:p>
    <w:p w:rsidR="00584F36" w:rsidRPr="00584F36" w:rsidRDefault="00584F36" w:rsidP="00584F3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,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Организатор вправе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отказаться от проведения продажи не позднее, чем за 3 (</w:t>
      </w:r>
      <w:r w:rsidR="009D32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три) дня до даты окончания подачи заявок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Оператор электронной площадки извещает претендентов об отказе  Организатора от проведения продажи не позднее следующего рабочего 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 </w:t>
      </w:r>
      <w:hyperlink r:id="rId10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электронной площадке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,</w:t>
      </w:r>
      <w:proofErr w:type="gramEnd"/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1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 - 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изменения, внесенные в информационное сообщение, размещаются на официальном сайте Российской Федерации </w:t>
      </w:r>
      <w:hyperlink r:id="rId12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на электронной площадке 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 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3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даты размещения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 размещенными надл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жащим образом.</w:t>
      </w:r>
    </w:p>
    <w:p w:rsidR="00F16D29" w:rsidRDefault="00F16D29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lastRenderedPageBreak/>
        <w:t>Срок и порядок внесения задатка</w:t>
      </w:r>
    </w:p>
    <w:p w:rsidR="00584F36" w:rsidRPr="00584F36" w:rsidRDefault="003B2519" w:rsidP="003B25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16"/>
          <w:szCs w:val="16"/>
        </w:rPr>
        <w:t>1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0 процентов начальной цены продажи ставки арендной платы в счет обеспечения оплаты приобретаемого имущества в аренду. Задаток вносится Претендентом на собственный лицевой счет, открываемый площадкой автоматически при прохождении регистрации на электронной площадке. 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аукциона. Оператор программными средствами осуществляет блокирование денежных сре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дств в с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умме задатка в момент подачи заявки на участие (при наличии на лицевом счете Претендента ЭП) либо в 00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не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поступлении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584F36" w:rsidRPr="00584F36" w:rsidRDefault="00584F36" w:rsidP="00584F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Задаток перечисляется на следующие реквизиты: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ПОЛУЧАТЕЛЬ: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Наименование: ЗАО "Сбербанк-АСТ"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ИНН: 7707308480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КПП: 770701001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Расчетный счет: 40702810300020038047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БАНК ПОЛУЧАТЕЛЯ: 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банка: ПАО "СБЕРБАНК РОССИИ" Г. МОСКВА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БИК: 044525225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Корреспондентский счет: 30101810400000000225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определения участников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Pr="007A0DE3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Определение участников </w:t>
      </w:r>
      <w:r w:rsidR="003B2519" w:rsidRPr="007A0DE3">
        <w:rPr>
          <w:rFonts w:ascii="Times New Roman" w:eastAsia="Calibri" w:hAnsi="Times New Roman" w:cs="Times New Roman"/>
          <w:b/>
          <w:sz w:val="16"/>
          <w:szCs w:val="16"/>
        </w:rPr>
        <w:t>аукциона состоится «</w:t>
      </w:r>
      <w:r w:rsidR="00A71BC1">
        <w:rPr>
          <w:rFonts w:ascii="Times New Roman" w:eastAsia="Calibri" w:hAnsi="Times New Roman" w:cs="Times New Roman"/>
          <w:b/>
          <w:sz w:val="16"/>
          <w:szCs w:val="16"/>
        </w:rPr>
        <w:t>14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574796">
        <w:rPr>
          <w:rFonts w:ascii="Times New Roman" w:eastAsia="Calibri" w:hAnsi="Times New Roman" w:cs="Times New Roman"/>
          <w:b/>
          <w:sz w:val="16"/>
          <w:szCs w:val="16"/>
        </w:rPr>
        <w:t>июля 2025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г.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Решение продавца о признании претендентов участниками аукциона  принимается в течение 5 рабочих дней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с даты окончания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срока приема заявок.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проведения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цены, время, оставшееся до окончания приема предложений о цене имущества.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поступило предложение о начальной цене имущества, то время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При этом программными средствами электронной площадки обеспечивается: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а-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победителя аукциона, цену имущества, предложенную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lastRenderedPageBreak/>
        <w:t>Процедура аукциона считается завершенной со времени подписания продавцом протокола об итогах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Аукцион признается несостоявшимся в следующих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не было подано ни одной заявки на участие либо ни один из претендентов не признан участником;</w:t>
      </w:r>
    </w:p>
    <w:p w:rsidR="00584F36" w:rsidRPr="00584F36" w:rsidRDefault="00FC7652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б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) ни один из участников не сделал предложение о начальной цене имущества.</w:t>
      </w:r>
    </w:p>
    <w:p w:rsid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Решение о признан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 несостоявшимся оформляется протоколом.</w:t>
      </w:r>
    </w:p>
    <w:p w:rsidR="00FC7652" w:rsidRDefault="00927C8E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В случае</w:t>
      </w:r>
      <w:r w:rsidR="00FC7652">
        <w:rPr>
          <w:rFonts w:ascii="Times New Roman" w:eastAsia="Calibri" w:hAnsi="Times New Roman" w:cs="Times New Roman"/>
          <w:sz w:val="16"/>
          <w:szCs w:val="16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</w:t>
      </w:r>
      <w:r>
        <w:rPr>
          <w:rFonts w:ascii="Times New Roman" w:eastAsia="Calibri" w:hAnsi="Times New Roman" w:cs="Times New Roman"/>
          <w:sz w:val="16"/>
          <w:szCs w:val="16"/>
        </w:rPr>
        <w:t>д</w:t>
      </w:r>
      <w:r w:rsidR="00FC7652">
        <w:rPr>
          <w:rFonts w:ascii="Times New Roman" w:eastAsia="Calibri" w:hAnsi="Times New Roman" w:cs="Times New Roman"/>
          <w:sz w:val="16"/>
          <w:szCs w:val="16"/>
        </w:rPr>
        <w:t>ажи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:rsidR="00927C8E" w:rsidRDefault="00927C8E" w:rsidP="0092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одного </w:t>
      </w:r>
      <w:r w:rsidR="00085602">
        <w:rPr>
          <w:rFonts w:ascii="Times New Roman" w:eastAsia="Calibri" w:hAnsi="Times New Roman" w:cs="Times New Roman"/>
          <w:sz w:val="16"/>
          <w:szCs w:val="16"/>
        </w:rPr>
        <w:t xml:space="preserve">часа </w:t>
      </w:r>
      <w:r w:rsidRPr="00584F36">
        <w:rPr>
          <w:rFonts w:ascii="Times New Roman" w:eastAsia="Calibri" w:hAnsi="Times New Roman" w:cs="Times New Roman"/>
          <w:sz w:val="16"/>
          <w:szCs w:val="16"/>
        </w:rPr>
        <w:t>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наименование имущества и иные позволяющие его индивидуализировать сведения;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цена сделки;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в) фамилия, имя, отчество физического лица или наименование юридического лица-победителя.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5 рабочих дней со дня подведения итогов аукциона с победителем заключается договор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имущества. При уклонении или отказе победителя от заключения в установленный срок договора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231" w:rsidRDefault="00765231" w:rsidP="001F4D4F">
      <w:pPr>
        <w:spacing w:before="100" w:beforeAutospacing="1" w:after="100" w:afterAutospacing="1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D29" w:rsidRDefault="00F16D29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6D29" w:rsidRDefault="00F16D29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6D29" w:rsidRDefault="00F16D29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6D29" w:rsidRDefault="00F16D29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6D29" w:rsidRDefault="00F16D29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№1</w:t>
      </w:r>
    </w:p>
    <w:p w:rsidR="001F4D4F" w:rsidRPr="00085602" w:rsidRDefault="001F4D4F" w:rsidP="000856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 информационному сообщению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ЗАЯВКА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НА УЧАСТИЕ В АУКЦИОНЕ В ЭЛЕКТРОННОЙ ФОРМЕ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(полное наименование юридического лица или фамилия, имя, отчество физического лица, подающего заявку)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физических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Документ, удостоверяющий личность: ____________ серия ________ № _____________,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выдан «____» ___________ 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(кем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выдан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юридических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серия _____________ № _________________, дата регистрации «______»__________________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орган, осуществивший регистрацию _____________________________________________________________________________место выдачи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ИНН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Место жительства/место нахождения: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телефон:___________________, факс: ________________________, индекс: 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далее именуемый Претендент, в лице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(фамилия, имя, отчество)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действующего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на основании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(наименование, дата и номер уполномочивающего документа)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заявляет о своем согласии принять участие в аукционе в электронной форме по продаже государственного имущества: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 имущества, его основные характеристики и местонахождение)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кциона в электронной форме.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lastRenderedPageBreak/>
        <w:t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обязуется: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2) в случае признания победителем аукциона в электронной форме заключить с Продавцом договор </w:t>
      </w:r>
      <w:r w:rsid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</w:t>
      </w: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кциона и договором </w:t>
      </w:r>
      <w:r w:rsidR="00FA152B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аренды.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Настоящей заявкой подтверждается, что: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не проводится процедура ликвидации;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деятельность Претендента не приостановлена.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Почтовый адрес и контактный телефон Претендента: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_________________________________________________________________________________________________________________________________________Подпись Претендента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(его полномочного представителя)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 ____________________________ «______»__________________20___ г.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Печать, подпись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/>
    <w:p w:rsidR="001B59F9" w:rsidRDefault="001B59F9"/>
    <w:sectPr w:rsidR="001B59F9" w:rsidSect="001B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F"/>
    <w:rsid w:val="00085602"/>
    <w:rsid w:val="000A20A1"/>
    <w:rsid w:val="000D0E1B"/>
    <w:rsid w:val="000D30BD"/>
    <w:rsid w:val="000E450D"/>
    <w:rsid w:val="00193A0E"/>
    <w:rsid w:val="001B51C6"/>
    <w:rsid w:val="001B59F9"/>
    <w:rsid w:val="001E4B72"/>
    <w:rsid w:val="001F4D4F"/>
    <w:rsid w:val="0027666B"/>
    <w:rsid w:val="002A6D44"/>
    <w:rsid w:val="002B752C"/>
    <w:rsid w:val="00384FDA"/>
    <w:rsid w:val="0039349E"/>
    <w:rsid w:val="003A7638"/>
    <w:rsid w:val="003B2519"/>
    <w:rsid w:val="00443B02"/>
    <w:rsid w:val="004971EF"/>
    <w:rsid w:val="004E1C58"/>
    <w:rsid w:val="00521EA2"/>
    <w:rsid w:val="00567DA2"/>
    <w:rsid w:val="00574796"/>
    <w:rsid w:val="00584398"/>
    <w:rsid w:val="00584F36"/>
    <w:rsid w:val="005C658F"/>
    <w:rsid w:val="00691DF6"/>
    <w:rsid w:val="00692064"/>
    <w:rsid w:val="00765231"/>
    <w:rsid w:val="0077465D"/>
    <w:rsid w:val="007A0DE3"/>
    <w:rsid w:val="007C35DF"/>
    <w:rsid w:val="00814287"/>
    <w:rsid w:val="00874B3C"/>
    <w:rsid w:val="00884F3E"/>
    <w:rsid w:val="008A7B86"/>
    <w:rsid w:val="00927C8E"/>
    <w:rsid w:val="00927EAE"/>
    <w:rsid w:val="009B0168"/>
    <w:rsid w:val="009D3205"/>
    <w:rsid w:val="00A2543D"/>
    <w:rsid w:val="00A56BBD"/>
    <w:rsid w:val="00A64094"/>
    <w:rsid w:val="00A71BC1"/>
    <w:rsid w:val="00A973F6"/>
    <w:rsid w:val="00B107DD"/>
    <w:rsid w:val="00B6399E"/>
    <w:rsid w:val="00B65F3B"/>
    <w:rsid w:val="00B7040C"/>
    <w:rsid w:val="00B76571"/>
    <w:rsid w:val="00BE1AA0"/>
    <w:rsid w:val="00BE5BFE"/>
    <w:rsid w:val="00BF5208"/>
    <w:rsid w:val="00C16C7F"/>
    <w:rsid w:val="00C9201E"/>
    <w:rsid w:val="00CF2E93"/>
    <w:rsid w:val="00D03854"/>
    <w:rsid w:val="00D06EA8"/>
    <w:rsid w:val="00D25378"/>
    <w:rsid w:val="00D466CF"/>
    <w:rsid w:val="00D83B4E"/>
    <w:rsid w:val="00E461B6"/>
    <w:rsid w:val="00E74676"/>
    <w:rsid w:val="00E8138D"/>
    <w:rsid w:val="00E84018"/>
    <w:rsid w:val="00EA54B4"/>
    <w:rsid w:val="00F04D78"/>
    <w:rsid w:val="00F06989"/>
    <w:rsid w:val="00F16D29"/>
    <w:rsid w:val="00FA152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poh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3B15-0F7B-4653-BFAA-4004EEA9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3702</Words>
  <Characters>21106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 Старкова</cp:lastModifiedBy>
  <cp:revision>24</cp:revision>
  <cp:lastPrinted>2024-06-21T12:24:00Z</cp:lastPrinted>
  <dcterms:created xsi:type="dcterms:W3CDTF">2023-03-15T05:37:00Z</dcterms:created>
  <dcterms:modified xsi:type="dcterms:W3CDTF">2025-06-09T05:30:00Z</dcterms:modified>
</cp:coreProperties>
</file>