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6C" w:rsidRPr="00EA042B" w:rsidRDefault="007F286C" w:rsidP="007F286C">
      <w:pPr>
        <w:shd w:val="clear" w:color="auto" w:fill="FFFFFF"/>
        <w:spacing w:after="375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464646"/>
          <w:kern w:val="36"/>
          <w:sz w:val="40"/>
          <w:szCs w:val="40"/>
          <w:lang w:eastAsia="ru-RU"/>
        </w:rPr>
      </w:pPr>
      <w:bookmarkStart w:id="0" w:name="_GoBack"/>
      <w:r w:rsidRPr="00EA042B">
        <w:rPr>
          <w:rFonts w:ascii="Times New Roman" w:eastAsia="Times New Roman" w:hAnsi="Times New Roman" w:cs="Times New Roman"/>
          <w:b/>
          <w:color w:val="464646"/>
          <w:kern w:val="36"/>
          <w:sz w:val="40"/>
          <w:szCs w:val="40"/>
          <w:lang w:eastAsia="ru-RU"/>
        </w:rPr>
        <w:t>Новый порядок инвентаризации выбросов</w:t>
      </w:r>
      <w:bookmarkEnd w:id="0"/>
      <w:r w:rsidRPr="00EA042B">
        <w:rPr>
          <w:rFonts w:ascii="Times New Roman" w:eastAsia="Times New Roman" w:hAnsi="Times New Roman" w:cs="Times New Roman"/>
          <w:b/>
          <w:color w:val="464646"/>
          <w:kern w:val="36"/>
          <w:sz w:val="40"/>
          <w:szCs w:val="40"/>
          <w:lang w:eastAsia="ru-RU"/>
        </w:rPr>
        <w:t>: ключевые изменения</w:t>
      </w:r>
    </w:p>
    <w:p w:rsidR="007F286C" w:rsidRPr="00EA042B" w:rsidRDefault="007F286C" w:rsidP="007F286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Приказом Минприроды России от 19.11.2021 № 871 обновлен Порядок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 (далее — Порядок).</w:t>
      </w:r>
    </w:p>
    <w:p w:rsidR="007F286C" w:rsidRPr="00EA042B" w:rsidRDefault="007F286C" w:rsidP="007F28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7F286C" w:rsidRPr="00EA042B" w:rsidRDefault="007F286C" w:rsidP="007F286C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Прежде </w:t>
      </w:r>
      <w:proofErr w:type="gram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всего</w:t>
      </w:r>
      <w:proofErr w:type="gramEnd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отметим, что само по себе издание нового Порядка не является основанием для пересмотра имеющейся на предприятии документации по инвентаризации стационарных источников и выбросов загрязняющих веществ в атмосферный воздух.</w:t>
      </w:r>
    </w:p>
    <w:p w:rsidR="007F286C" w:rsidRPr="00EA042B" w:rsidRDefault="007F286C" w:rsidP="007F286C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Документация по инвентаризации, утвержденная до вступления в силу нового Порядка, признается действующей и подлежит корректировке в случаях, предусмотренных в качестве оснований для проведения корректировки данных инвентаризации</w:t>
      </w:r>
      <w:r w:rsidRPr="00EA042B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.</w:t>
      </w:r>
    </w:p>
    <w:p w:rsidR="007F286C" w:rsidRPr="00EA042B" w:rsidRDefault="007F286C" w:rsidP="007F286C">
      <w:pPr>
        <w:shd w:val="clear" w:color="auto" w:fill="FFFFFF"/>
        <w:spacing w:after="345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Ключевые изменения в новом Порядке — положения об инвентаризации передвижных источников выбросов.</w:t>
      </w:r>
    </w:p>
    <w:p w:rsidR="007F286C" w:rsidRPr="00EA042B" w:rsidRDefault="007F286C" w:rsidP="007F286C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bdr w:val="none" w:sz="0" w:space="0" w:color="auto" w:frame="1"/>
          <w:lang w:eastAsia="ru-RU"/>
        </w:rPr>
        <w:t>Особенности инвентаризации передвижных источников выбросов</w:t>
      </w:r>
    </w:p>
    <w:p w:rsidR="007F286C" w:rsidRPr="00EA042B" w:rsidRDefault="007F286C" w:rsidP="007F28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Новым Порядком предусмотрено, что при проведении инвентаризации выбросов выявляются и учитываются не только стационарные, но и передвижные ИЗАВ</w:t>
      </w:r>
      <w:bookmarkStart w:id="1" w:name="_ftnref1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fldChar w:fldCharType="begin"/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instrText xml:space="preserve"> HYPERLINK "file:///\\\\pgfb-fs01\\Publishers\\SEko_Ru\\2022\\1%20(109)%20%D1%8F%D0%BD%D0%B2%D0%B0%D1%80%D1%8C%202022\\%D0%9D%D0%B0%20%D1%81%D0%B0%D0%B9%D1%82\\%D0%A1%D1%83%D0%B1%D0%B1%D0%BE%D1%82%D0%B8%D0%BD%D1%81%D0%BA%D0%B0%D1%8F.rtf" \l "_ftn1" \o "" </w:instrTex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fldChar w:fldCharType="separate"/>
      </w:r>
      <w:r w:rsidRPr="00EA042B">
        <w:rPr>
          <w:rFonts w:ascii="Times New Roman" w:eastAsia="Times New Roman" w:hAnsi="Times New Roman" w:cs="Times New Roman"/>
          <w:color w:val="487592"/>
          <w:sz w:val="28"/>
          <w:szCs w:val="28"/>
          <w:u w:val="single"/>
          <w:bdr w:val="none" w:sz="0" w:space="0" w:color="auto" w:frame="1"/>
          <w:lang w:eastAsia="ru-RU"/>
        </w:rPr>
        <w:t>[1]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fldChar w:fldCharType="end"/>
      </w:r>
      <w:bookmarkEnd w:id="1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которые:</w:t>
      </w:r>
    </w:p>
    <w:p w:rsidR="007F286C" w:rsidRPr="00EA042B" w:rsidRDefault="007F286C" w:rsidP="007F28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постоянно или временно эксплуатируются (функционируют) или находятся на объекте ОНВ;</w:t>
      </w:r>
    </w:p>
    <w:p w:rsidR="007F286C" w:rsidRPr="00EA042B" w:rsidRDefault="007F286C" w:rsidP="007F286C">
      <w:pPr>
        <w:shd w:val="clear" w:color="auto" w:fill="FFFFFF"/>
        <w:spacing w:after="345" w:line="276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принадлежат на праве собственности либо ином законном основании хозяйствующему субъекту, осуществляющему деятельность на объекте ОНВ.</w:t>
      </w:r>
    </w:p>
    <w:p w:rsidR="007F286C" w:rsidRPr="00EA042B" w:rsidRDefault="007F286C" w:rsidP="007F28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gram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качестве </w:t>
      </w: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передвижных ИЗАВ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при проведении инвентаризации выбросов </w:t>
      </w: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учитываются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 постоянно или временно </w:t>
      </w:r>
      <w:proofErr w:type="spell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эксплуатирующиеся</w:t>
      </w:r>
      <w:proofErr w:type="spellEnd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(функционирующие) на объекте ОНВ:</w:t>
      </w:r>
      <w:proofErr w:type="gramEnd"/>
    </w:p>
    <w:p w:rsidR="007F286C" w:rsidRPr="00EA042B" w:rsidRDefault="007F286C" w:rsidP="007F286C">
      <w:pPr>
        <w:shd w:val="clear" w:color="auto" w:fill="FFFFFF"/>
        <w:spacing w:after="345" w:line="276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автомобильный транспорт, строительная, сельскохозяйственная, дорожная и иная техника, которая относится к передвижным источникам выбросов;</w:t>
      </w:r>
    </w:p>
    <w:p w:rsidR="007F286C" w:rsidRPr="00EA042B" w:rsidRDefault="007F286C" w:rsidP="007F286C">
      <w:pPr>
        <w:shd w:val="clear" w:color="auto" w:fill="FFFFFF"/>
        <w:spacing w:after="345" w:line="276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самолеты и иные воздушные суда;</w:t>
      </w:r>
    </w:p>
    <w:p w:rsidR="007F286C" w:rsidRPr="00EA042B" w:rsidRDefault="007F286C" w:rsidP="007F286C">
      <w:pPr>
        <w:shd w:val="clear" w:color="auto" w:fill="FFFFFF"/>
        <w:spacing w:after="345" w:line="276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железнодорожный транспорт;</w:t>
      </w:r>
    </w:p>
    <w:p w:rsidR="007F286C" w:rsidRPr="00EA042B" w:rsidRDefault="007F286C" w:rsidP="007F286C">
      <w:pPr>
        <w:shd w:val="clear" w:color="auto" w:fill="FFFFFF"/>
        <w:spacing w:after="345" w:line="276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• водные суда.</w:t>
      </w:r>
    </w:p>
    <w:p w:rsidR="007F286C" w:rsidRPr="00EA042B" w:rsidRDefault="007F286C" w:rsidP="007F28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gramStart"/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Исключение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: хозяйствующий субъект вправе не учитывать выбросы передвижных ИЗАВ в случае, если на объекте ОНВ не осуществляется промышленное производство и если на объекте эксплуатируются исключительно легковые автомобили и (или) автобусы для перевозки людей в количестве не более 20 единиц в день и грузовые автомобили в количестве не более 3 единиц в день.</w:t>
      </w:r>
      <w:proofErr w:type="gramEnd"/>
    </w:p>
    <w:p w:rsidR="007F286C" w:rsidRPr="00EA042B" w:rsidRDefault="007F286C" w:rsidP="007F28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Также </w:t>
      </w: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 xml:space="preserve">учитываются выбросы </w:t>
      </w:r>
      <w:proofErr w:type="gramStart"/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 xml:space="preserve"> передвижных ИЗАВ на стоянках и сооружениях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где осуществляется работа, обслуживание и ремонт передвижных ИЗАВ, погрузка и разгрузка передвижных ИЗАВ.</w:t>
      </w:r>
    </w:p>
    <w:p w:rsidR="007F286C" w:rsidRPr="00EA042B" w:rsidRDefault="007F286C" w:rsidP="007F28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Исключение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: в случае если выбросы от передвижных ИЗАВ на таких стоянках и сооружениях были учтены при инвентаризации выбросов на объекте ОНВ как выбросы от стационарных ИЗАВ, повторный учет выбросов на данных стоянках и сооружениях не требуется.</w:t>
      </w:r>
    </w:p>
    <w:p w:rsidR="007F286C" w:rsidRPr="00EA042B" w:rsidRDefault="007F286C" w:rsidP="007F286C">
      <w:pPr>
        <w:shd w:val="clear" w:color="auto" w:fill="FFFFFF"/>
        <w:spacing w:after="345" w:line="276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gram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ходе инвентаризации выбросов для передвижных ИЗАВ определяются скорости движения по объекту ОНВ и режимы эксплуатации (функционирования).</w:t>
      </w:r>
      <w:proofErr w:type="gramEnd"/>
    </w:p>
    <w:p w:rsidR="007F286C" w:rsidRPr="00EA042B" w:rsidRDefault="007F286C" w:rsidP="007F28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gramStart"/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Список выбрасываемых загрязняющих веществ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 от передвижных источников составляется на основе данных об </w:t>
      </w:r>
      <w:proofErr w:type="spell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эксплуатирующихся</w:t>
      </w:r>
      <w:proofErr w:type="spellEnd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(функционирующих) на объекте ОНВ передвижных ИЗАВ, а также используемом топливе.</w:t>
      </w:r>
      <w:proofErr w:type="gramEnd"/>
    </w:p>
    <w:p w:rsidR="007F286C" w:rsidRPr="00EA042B" w:rsidRDefault="007F286C" w:rsidP="007F286C">
      <w:pPr>
        <w:shd w:val="clear" w:color="auto" w:fill="FFFFFF"/>
        <w:spacing w:beforeAutospacing="1" w:after="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bdr w:val="none" w:sz="0" w:space="0" w:color="auto" w:frame="1"/>
          <w:lang w:eastAsia="ru-RU"/>
        </w:rPr>
        <w:t>Методы определения показателей выбросов передвижных ИЗАВ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gram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Для определения показателей выбросов от передвижных ИЗАВ используются преимущественно расчетные методы.</w:t>
      </w:r>
      <w:proofErr w:type="gramEnd"/>
    </w:p>
    <w:p w:rsidR="007F286C" w:rsidRPr="00EA042B" w:rsidRDefault="007F286C" w:rsidP="007F286C">
      <w:pPr>
        <w:shd w:val="clear" w:color="auto" w:fill="FFFFFF"/>
        <w:spacing w:after="345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случае использования для определения показателей выбросов от передвижных ИЗАВ инструментальных методов приводится обоснование выбора и применения таких методов.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Для передвижных ИЗАВ при инвентаризации выбросов определяются значения максимальных разовых выбросов в </w:t>
      </w:r>
      <w:proofErr w:type="gram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</w:t>
      </w:r>
      <w:proofErr w:type="gramEnd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/с и суммарных годовых (валовых) выбросов в т/год.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Определение показателей выбросов от передвижных ИЗАВ расчетным методом осуществляется </w:t>
      </w:r>
      <w:proofErr w:type="gram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 использованием методик расчета выбросов в соответствии с областью их применения с учетом количества 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функционирующих на объекте</w:t>
      </w:r>
      <w:proofErr w:type="gramEnd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ОНВ передвижных ИЗАВ, их видов, а также используемого топлива.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Выбросы рассчитываются отдельно для каждого из стационарных ИЗАВ и для передвижных ИЗАВ и документируются с приложением исходных данных, источников их получения и описанием процедуры расчета с указанием применяемых методик (методов) расчета.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Для объекта ОНВ отдельно рассчитывается сумма годовых выбросов загрязняющих веществ </w:t>
      </w:r>
      <w:proofErr w:type="gram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от</w:t>
      </w:r>
      <w:proofErr w:type="gramEnd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передвижных ИЗАВ.</w:t>
      </w:r>
    </w:p>
    <w:p w:rsidR="007F286C" w:rsidRPr="00EA042B" w:rsidRDefault="007F286C" w:rsidP="007F286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bdr w:val="none" w:sz="0" w:space="0" w:color="auto" w:frame="1"/>
          <w:lang w:eastAsia="ru-RU"/>
        </w:rPr>
        <w:t>Стационарные источники. Выбор методов инвентаризации</w:t>
      </w:r>
    </w:p>
    <w:p w:rsidR="007F286C" w:rsidRPr="00EA042B" w:rsidRDefault="007F286C" w:rsidP="007F286C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Порядком все так же провозглашается </w:t>
      </w: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приоритет инструментальных методов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при проведении инвентаризации выбросов стационарных источников.</w:t>
      </w:r>
    </w:p>
    <w:p w:rsidR="007F286C" w:rsidRPr="00EA042B" w:rsidRDefault="007F286C" w:rsidP="007F286C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Случаи, при которых допускается использование расчетных методов: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отсутствие аттестованных методик (методов) измерения загрязняющего вещества;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отсутствие практической возможности забора проб для определения инструментальными методами в соответствии с национальными стандартами РФ;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• отсутствие практической возможности проведения инструментальных измерений выбросов (например, высокая температура </w:t>
      </w:r>
      <w:proofErr w:type="spell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газовоздушной</w:t>
      </w:r>
      <w:proofErr w:type="spellEnd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смеси, высокая скорость потока отходящих газов, сверхнизкое или сверхвысокое давление внутри газохода, отсутствие доступа к ИЗАВ);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инвентаризация выбросов неорганизованных и (или) линейных стационарных ИЗАВ.</w:t>
      </w:r>
    </w:p>
    <w:p w:rsidR="007F286C" w:rsidRPr="00EA042B" w:rsidRDefault="007F286C" w:rsidP="007F286C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Расчетные методы </w:t>
      </w: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с использованием результатов измерений 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отдельных характеристик источника выбросов, расхода сырья или топлива, а также загруженности, продолжительности работы оборудования </w:t>
      </w: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применяются для инвентаризации выбросов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: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от неорганизованных ИЗАВ;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• от </w:t>
      </w:r>
      <w:proofErr w:type="spell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топливосжигающих</w:t>
      </w:r>
      <w:proofErr w:type="spellEnd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установок мощностью не более 50 МВт;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при выполнении работ по нанесению металлопокрытий гальваническим способом, по механической обработке материалов, сварочных и окрасочных работ, взрывных работ, погрузочно-разгрузочных работ;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 xml:space="preserve">• от инфраструктуры транспортных объектов, дизельных установок, </w:t>
      </w:r>
      <w:proofErr w:type="spell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бензоэлектростанций</w:t>
      </w:r>
      <w:proofErr w:type="spellEnd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бензопил и подобного оборудования;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от источников открытого хранения топлива, сырья, веществ, материалов, отходов, открытых поверхностей испарения;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от карьеров добычи полезных ископаемых и открытых участков обработки полезных ископаемых;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от оборудования и технологических процессов, расположенных на открытом воздухе или в производственных помещениях, не оборудованных вентиляционными установками;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 для получения данных о показателях выбросов проектируемых, строящихся и реконструируемых объектов ОНВ.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случае использования расчетных методов в отчет о результатах инвентаризации выбросов включается обоснование выбора и применения использованных методов.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 этом Порядком уточняются особенности выбора и применения тех или иных методик расчета выбросов.</w:t>
      </w:r>
    </w:p>
    <w:p w:rsidR="007F286C" w:rsidRPr="00EA042B" w:rsidRDefault="007F286C" w:rsidP="007F286C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bdr w:val="none" w:sz="0" w:space="0" w:color="auto" w:frame="1"/>
          <w:lang w:eastAsia="ru-RU"/>
        </w:rPr>
        <w:t xml:space="preserve">Изменения </w:t>
      </w:r>
      <w:proofErr w:type="gramStart"/>
      <w:r w:rsidRPr="00EA042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bdr w:val="none" w:sz="0" w:space="0" w:color="auto" w:frame="1"/>
          <w:lang w:eastAsia="ru-RU"/>
        </w:rPr>
        <w:t>основании</w:t>
      </w:r>
      <w:proofErr w:type="gramEnd"/>
      <w:r w:rsidRPr="00EA042B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bdr w:val="none" w:sz="0" w:space="0" w:color="auto" w:frame="1"/>
          <w:lang w:eastAsia="ru-RU"/>
        </w:rPr>
        <w:t>̆ для корректировки инвентаризации</w:t>
      </w:r>
    </w:p>
    <w:p w:rsidR="007F286C" w:rsidRPr="00EA042B" w:rsidRDefault="007F286C" w:rsidP="007F286C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Перечень оснований для корректировки данных инвентаризации выбросов </w:t>
      </w: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дополнен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К таким основаниям, в частности, отнесены реконструкция, модернизация установок очистки газа, приводящая к изменению состава, объема и (или) массы выбросов.</w:t>
      </w:r>
    </w:p>
    <w:p w:rsidR="007F286C" w:rsidRPr="00EA042B" w:rsidRDefault="007F286C" w:rsidP="007F286C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Также </w:t>
      </w:r>
      <w:r w:rsidRPr="00EA042B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уточняется</w:t>
      </w: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одно из оснований для корректировки данных инвентаризации: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• теперь это не любое изменение законодательства РФ в области охраны атмосферного воздуха, связанное с инвентаризацией выбросов;</w:t>
      </w:r>
    </w:p>
    <w:p w:rsidR="007F286C" w:rsidRPr="00EA042B" w:rsidRDefault="007F286C" w:rsidP="007F286C">
      <w:pPr>
        <w:shd w:val="clear" w:color="auto" w:fill="FFFFFF"/>
        <w:spacing w:after="345" w:line="28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• а такое изменение законодательства, после </w:t>
      </w:r>
      <w:proofErr w:type="gramStart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вступления</w:t>
      </w:r>
      <w:proofErr w:type="gramEnd"/>
      <w:r w:rsidRPr="00EA042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силу которого документация по инвентаризации выбросов не будет соответствовать требованиям законодательства.</w:t>
      </w:r>
    </w:p>
    <w:p w:rsidR="00243C4C" w:rsidRDefault="00243C4C"/>
    <w:sectPr w:rsidR="0024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E"/>
    <w:rsid w:val="00243C4C"/>
    <w:rsid w:val="007F286C"/>
    <w:rsid w:val="00B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2022-02-09T04:51:00Z</dcterms:created>
  <dcterms:modified xsi:type="dcterms:W3CDTF">2022-02-09T04:52:00Z</dcterms:modified>
</cp:coreProperties>
</file>