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6A20BE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17.10.2024 № 718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A72EB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3810" b="317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62549A3D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134895">
              <w:trPr>
                <w:trHeight w:val="57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A72EB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0" r="3810" b="317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4855E84E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891433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891433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891433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891433">
              <w:rPr>
                <w:rFonts w:cs="Times New Roman"/>
                <w:sz w:val="24"/>
              </w:rPr>
              <w:t>ы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      </w:r>
            <w:r w:rsidR="00A72EB9">
              <w:rPr>
                <w:rFonts w:cs="Times New Roman"/>
                <w:sz w:val="24"/>
              </w:rPr>
              <w:t>5</w:t>
            </w:r>
            <w:r w:rsidR="007B263D">
              <w:rPr>
                <w:rFonts w:cs="Times New Roman"/>
                <w:sz w:val="24"/>
              </w:rPr>
              <w:t>-202</w:t>
            </w:r>
            <w:r w:rsidR="00A72EB9">
              <w:rPr>
                <w:rFonts w:cs="Times New Roman"/>
                <w:sz w:val="24"/>
              </w:rPr>
              <w:t>9</w:t>
            </w:r>
            <w:r w:rsidR="007B263D">
              <w:rPr>
                <w:rFonts w:cs="Times New Roman"/>
                <w:sz w:val="24"/>
              </w:rPr>
              <w:t xml:space="preserve">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/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P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891433">
        <w:rPr>
          <w:rFonts w:cs="Times New Roman"/>
          <w:szCs w:val="28"/>
        </w:rPr>
        <w:t>Утвердить</w:t>
      </w:r>
      <w:r w:rsidR="00242861" w:rsidRPr="00891433">
        <w:rPr>
          <w:rFonts w:cs="Times New Roman"/>
          <w:szCs w:val="28"/>
        </w:rPr>
        <w:t xml:space="preserve"> муниципальную программу </w:t>
      </w:r>
      <w:r w:rsidR="002A7D8F" w:rsidRPr="00891433">
        <w:rPr>
          <w:rFonts w:cs="Times New Roman"/>
          <w:szCs w:val="28"/>
        </w:rPr>
        <w:t>«</w:t>
      </w:r>
      <w:r w:rsidR="007B263D" w:rsidRPr="007B263D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 w:rsidR="00A72EB9">
        <w:rPr>
          <w:rFonts w:cs="Times New Roman"/>
          <w:szCs w:val="28"/>
        </w:rPr>
        <w:t>5</w:t>
      </w:r>
      <w:r w:rsidR="007B263D" w:rsidRPr="007B263D">
        <w:rPr>
          <w:rFonts w:cs="Times New Roman"/>
          <w:szCs w:val="28"/>
        </w:rPr>
        <w:t>-202</w:t>
      </w:r>
      <w:r w:rsidR="00A72EB9">
        <w:rPr>
          <w:rFonts w:cs="Times New Roman"/>
          <w:szCs w:val="28"/>
        </w:rPr>
        <w:t>9</w:t>
      </w:r>
      <w:r w:rsidR="007B263D" w:rsidRPr="007B263D">
        <w:rPr>
          <w:rFonts w:cs="Times New Roman"/>
          <w:szCs w:val="28"/>
        </w:rPr>
        <w:t xml:space="preserve"> годы</w:t>
      </w:r>
      <w:r w:rsidR="007B263D">
        <w:rPr>
          <w:rFonts w:cs="Times New Roman"/>
          <w:szCs w:val="28"/>
        </w:rPr>
        <w:t>»</w:t>
      </w:r>
      <w:r w:rsidRPr="00891433">
        <w:rPr>
          <w:rFonts w:cs="Times New Roman"/>
          <w:szCs w:val="28"/>
        </w:rPr>
        <w:t xml:space="preserve"> (прилагается)</w:t>
      </w:r>
      <w:r w:rsidR="003672E7" w:rsidRPr="00891433">
        <w:rPr>
          <w:rFonts w:cs="Times New Roman"/>
          <w:szCs w:val="28"/>
        </w:rPr>
        <w:t>.</w:t>
      </w:r>
    </w:p>
    <w:p w:rsidR="00766957" w:rsidRPr="00766957" w:rsidRDefault="00766957" w:rsidP="00766957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Признать утратившим силу Постановление Администрации</w:t>
      </w:r>
      <w:r w:rsidRPr="0076695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муниципального района Похвистневский Самарской области </w:t>
      </w:r>
      <w:r w:rsidRPr="00766957">
        <w:rPr>
          <w:rFonts w:cs="Times New Roman"/>
          <w:szCs w:val="28"/>
        </w:rPr>
        <w:t>«Об утверждении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>
        <w:rPr>
          <w:rFonts w:cs="Times New Roman"/>
          <w:szCs w:val="28"/>
        </w:rPr>
        <w:t>2</w:t>
      </w:r>
      <w:r w:rsidRPr="00766957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>6</w:t>
      </w:r>
      <w:r w:rsidRPr="00766957">
        <w:rPr>
          <w:rFonts w:cs="Times New Roman"/>
          <w:szCs w:val="28"/>
        </w:rPr>
        <w:t xml:space="preserve"> годы</w:t>
      </w:r>
      <w:r w:rsidR="00DA3134">
        <w:rPr>
          <w:rFonts w:cs="Times New Roman"/>
          <w:szCs w:val="28"/>
        </w:rPr>
        <w:t>» от 28.02.2022г № 133 (</w:t>
      </w:r>
      <w:r>
        <w:rPr>
          <w:rFonts w:cs="Times New Roman"/>
          <w:szCs w:val="28"/>
        </w:rPr>
        <w:t>с</w:t>
      </w:r>
      <w:r w:rsidR="00DA3134">
        <w:rPr>
          <w:rFonts w:cs="Times New Roman"/>
          <w:szCs w:val="28"/>
        </w:rPr>
        <w:t>о всеми</w:t>
      </w:r>
      <w:r>
        <w:rPr>
          <w:rFonts w:cs="Times New Roman"/>
          <w:szCs w:val="28"/>
        </w:rPr>
        <w:t xml:space="preserve"> изм</w:t>
      </w:r>
      <w:r w:rsidR="00DA3134">
        <w:rPr>
          <w:rFonts w:cs="Times New Roman"/>
          <w:szCs w:val="28"/>
        </w:rPr>
        <w:t>енениями).</w:t>
      </w:r>
    </w:p>
    <w:p w:rsid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 Похвистневский Самарской области самостоятельно, за счет средств бюджета </w:t>
      </w:r>
      <w:r>
        <w:rPr>
          <w:rFonts w:cs="Times New Roman"/>
          <w:szCs w:val="28"/>
        </w:rPr>
        <w:lastRenderedPageBreak/>
        <w:t>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</w:p>
    <w:p w:rsidR="003F2F7B" w:rsidRPr="003F2F7B" w:rsidRDefault="003F2F7B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3F2F7B">
        <w:rPr>
          <w:rFonts w:cs="Times New Roman"/>
          <w:szCs w:val="28"/>
        </w:rPr>
        <w:t xml:space="preserve">Контроль за исполнением настоящего Постановления </w:t>
      </w:r>
      <w:r w:rsidR="00A72EB9">
        <w:rPr>
          <w:rFonts w:cs="Times New Roman"/>
          <w:szCs w:val="28"/>
        </w:rPr>
        <w:t>оставляю за собой</w:t>
      </w:r>
      <w:r w:rsidRPr="003F2F7B">
        <w:rPr>
          <w:rFonts w:cs="Times New Roman"/>
          <w:szCs w:val="28"/>
        </w:rPr>
        <w:t>.</w:t>
      </w:r>
      <w:r w:rsidRPr="003F2F7B">
        <w:rPr>
          <w:rFonts w:cs="Times New Roman"/>
          <w:szCs w:val="28"/>
        </w:rPr>
        <w:tab/>
      </w:r>
    </w:p>
    <w:p w:rsidR="00463AEC" w:rsidRPr="000D0286" w:rsidRDefault="00A42624" w:rsidP="00E55D39">
      <w:pPr>
        <w:pStyle w:val="a3"/>
        <w:numPr>
          <w:ilvl w:val="0"/>
          <w:numId w:val="10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Постановление подлежит размещению </w:t>
      </w:r>
      <w:r w:rsidR="003672E7" w:rsidRPr="00E47350">
        <w:rPr>
          <w:rFonts w:cs="Times New Roman"/>
          <w:szCs w:val="28"/>
        </w:rPr>
        <w:t>на сайте Администрации муниципального района Похвистневский в сети Интернет.</w:t>
      </w:r>
    </w:p>
    <w:p w:rsidR="000D0286" w:rsidRPr="00E47350" w:rsidRDefault="000D0286" w:rsidP="000D0286">
      <w:pPr>
        <w:pStyle w:val="a3"/>
        <w:ind w:left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FF0F0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6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</w:t>
      </w:r>
      <w:r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B263D">
        <w:rPr>
          <w:rFonts w:eastAsiaTheme="minorHAnsi" w:cs="Times New Roman"/>
          <w:bCs w:val="0"/>
          <w:szCs w:val="28"/>
          <w:lang w:eastAsia="en-US"/>
        </w:rPr>
        <w:t xml:space="preserve">с </w:t>
      </w:r>
      <w:r w:rsidR="00134895">
        <w:rPr>
          <w:rFonts w:eastAsiaTheme="minorHAnsi" w:cs="Times New Roman"/>
          <w:bCs w:val="0"/>
          <w:szCs w:val="28"/>
          <w:lang w:eastAsia="en-US"/>
        </w:rPr>
        <w:t>1 января 202</w:t>
      </w:r>
      <w:r w:rsidR="00A72EB9">
        <w:rPr>
          <w:rFonts w:eastAsiaTheme="minorHAnsi" w:cs="Times New Roman"/>
          <w:bCs w:val="0"/>
          <w:szCs w:val="28"/>
          <w:lang w:eastAsia="en-US"/>
        </w:rPr>
        <w:t>5</w:t>
      </w:r>
      <w:r w:rsidR="00134895">
        <w:rPr>
          <w:rFonts w:eastAsiaTheme="minorHAnsi" w:cs="Times New Roman"/>
          <w:bCs w:val="0"/>
          <w:szCs w:val="28"/>
          <w:lang w:eastAsia="en-US"/>
        </w:rPr>
        <w:t xml:space="preserve"> года</w:t>
      </w:r>
      <w:r w:rsidR="0073375B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A72EB9" w:rsidP="00177E4E">
      <w:r>
        <w:t>И.О.</w:t>
      </w:r>
      <w:r w:rsidR="00005A07" w:rsidRPr="00005A07">
        <w:t xml:space="preserve"> </w:t>
      </w:r>
      <w:r w:rsidR="00CA5C9A">
        <w:t>Г</w:t>
      </w:r>
      <w:r w:rsidR="00005A07" w:rsidRPr="00005A07">
        <w:t>лав</w:t>
      </w:r>
      <w:r>
        <w:t>ы</w:t>
      </w:r>
      <w:r w:rsidR="00005A07" w:rsidRPr="00005A07">
        <w:t xml:space="preserve"> района </w:t>
      </w:r>
      <w:r w:rsidR="00005A07"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</w:t>
      </w:r>
      <w:r w:rsidR="00134895">
        <w:t xml:space="preserve">  </w:t>
      </w:r>
      <w:proofErr w:type="spellStart"/>
      <w:r>
        <w:t>С.В.Черкасов</w:t>
      </w:r>
      <w:proofErr w:type="spellEnd"/>
      <w:r w:rsidR="00134895">
        <w:t xml:space="preserve">  </w:t>
      </w:r>
      <w:r w:rsidR="00CE23C9">
        <w:t xml:space="preserve">    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6A20BE">
      <w:pPr>
        <w:rPr>
          <w:rFonts w:cs="Times New Roman"/>
          <w:sz w:val="22"/>
          <w:szCs w:val="22"/>
        </w:rPr>
      </w:pPr>
    </w:p>
    <w:p w:rsidR="006A20BE" w:rsidRDefault="006A20BE" w:rsidP="006A20BE">
      <w:pPr>
        <w:rPr>
          <w:rFonts w:cs="Times New Roman"/>
          <w:sz w:val="22"/>
          <w:szCs w:val="22"/>
        </w:rPr>
      </w:pPr>
    </w:p>
    <w:p w:rsidR="00A72EB9" w:rsidRDefault="00A72EB9" w:rsidP="006A20BE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6A20BE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6A20BE" w:rsidRPr="006A20BE">
        <w:rPr>
          <w:rFonts w:cs="Times New Roman"/>
          <w:sz w:val="22"/>
          <w:szCs w:val="22"/>
        </w:rPr>
        <w:t>17.10.2024 № 718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</w:t>
      </w:r>
      <w:r w:rsidR="007B263D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 w:rsidR="00A72EB9">
        <w:rPr>
          <w:rFonts w:cs="Times New Roman"/>
          <w:sz w:val="24"/>
        </w:rPr>
        <w:t>5</w:t>
      </w:r>
      <w:r w:rsidR="007B263D">
        <w:rPr>
          <w:rFonts w:cs="Times New Roman"/>
          <w:sz w:val="24"/>
        </w:rPr>
        <w:t>-202</w:t>
      </w:r>
      <w:r w:rsidR="00A72EB9">
        <w:rPr>
          <w:rFonts w:cs="Times New Roman"/>
          <w:sz w:val="24"/>
        </w:rPr>
        <w:t>9</w:t>
      </w:r>
      <w:r w:rsidR="007B263D">
        <w:rPr>
          <w:rFonts w:cs="Times New Roman"/>
          <w:sz w:val="24"/>
        </w:rPr>
        <w:t xml:space="preserve"> годы</w:t>
      </w:r>
      <w:r w:rsidRPr="0001560F">
        <w:rPr>
          <w:rFonts w:cs="Times New Roman"/>
          <w:sz w:val="22"/>
          <w:szCs w:val="22"/>
        </w:rPr>
        <w:t xml:space="preserve">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6554"/>
      </w:tblGrid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CF0F7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54" w:type="dxa"/>
            <w:shd w:val="clear" w:color="auto" w:fill="auto"/>
          </w:tcPr>
          <w:p w:rsidR="003672E7" w:rsidRPr="0001560F" w:rsidRDefault="007B263D" w:rsidP="00A72EB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      </w:r>
            <w:r w:rsidR="00A72EB9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-202</w:t>
            </w:r>
            <w:r w:rsidR="00A72EB9">
              <w:rPr>
                <w:rFonts w:cs="Times New Roman"/>
                <w:sz w:val="24"/>
              </w:rPr>
              <w:t>9</w:t>
            </w:r>
            <w:r>
              <w:rPr>
                <w:rFonts w:cs="Times New Roman"/>
                <w:sz w:val="24"/>
              </w:rPr>
              <w:t xml:space="preserve"> годы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F33D3A">
              <w:rPr>
                <w:rFonts w:cs="Times New Roman"/>
                <w:sz w:val="22"/>
                <w:szCs w:val="22"/>
              </w:rPr>
              <w:t>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рограмма)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6C10EA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Администрация 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6C10EA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7B263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7B263D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2E4A99" w:rsidRDefault="00F8535C" w:rsidP="00134895">
            <w:pPr>
              <w:jc w:val="both"/>
              <w:rPr>
                <w:rFonts w:cs="Times New Roman"/>
                <w:sz w:val="22"/>
              </w:rPr>
            </w:pPr>
            <w:r>
              <w:rPr>
                <w:sz w:val="22"/>
                <w:szCs w:val="22"/>
              </w:rPr>
              <w:t>Обеспечение безопасности</w:t>
            </w:r>
            <w:r w:rsidR="00134895">
              <w:rPr>
                <w:sz w:val="22"/>
                <w:szCs w:val="22"/>
              </w:rPr>
              <w:t xml:space="preserve"> жизни и здоровья воспитанников,</w:t>
            </w:r>
            <w:r>
              <w:rPr>
                <w:sz w:val="22"/>
                <w:szCs w:val="22"/>
              </w:rPr>
              <w:t xml:space="preserve"> учащихся</w:t>
            </w:r>
            <w:r w:rsidR="00134895">
              <w:rPr>
                <w:sz w:val="22"/>
                <w:szCs w:val="22"/>
              </w:rPr>
              <w:t xml:space="preserve"> и сотрудников</w:t>
            </w:r>
            <w:r>
              <w:rPr>
                <w:sz w:val="22"/>
                <w:szCs w:val="22"/>
              </w:rPr>
              <w:t xml:space="preserve"> общеобразовательных учреждений</w:t>
            </w:r>
            <w:r w:rsidR="00134895">
              <w:rPr>
                <w:sz w:val="22"/>
                <w:szCs w:val="22"/>
              </w:rPr>
              <w:t xml:space="preserve">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противоэктремистской направленности 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</w:t>
            </w:r>
            <w:r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374AC3" w:rsidRDefault="00134895" w:rsidP="0094619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Стратегические показатели (индикаторы)</w:t>
            </w:r>
            <w:r>
              <w:rPr>
                <w:rFonts w:cs="Times New Roman"/>
                <w:sz w:val="22"/>
                <w:szCs w:val="22"/>
              </w:rPr>
              <w:t xml:space="preserve"> 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134895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к муниципальной программе № 1</w:t>
            </w:r>
          </w:p>
        </w:tc>
      </w:tr>
      <w:tr w:rsidR="007B263D" w:rsidRPr="0001560F" w:rsidTr="004A4C04">
        <w:trPr>
          <w:trHeight w:val="330"/>
        </w:trPr>
        <w:tc>
          <w:tcPr>
            <w:tcW w:w="3016" w:type="dxa"/>
            <w:shd w:val="clear" w:color="auto" w:fill="auto"/>
          </w:tcPr>
          <w:p w:rsidR="007B263D" w:rsidRPr="0001560F" w:rsidRDefault="007B263D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7B263D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7B263D" w:rsidRPr="0001560F" w:rsidTr="004A4C04">
        <w:trPr>
          <w:trHeight w:val="614"/>
        </w:trPr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6C47A4" w:rsidP="00A72EB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Муниципальная п</w:t>
            </w:r>
            <w:r w:rsidR="007B263D" w:rsidRPr="0001560F">
              <w:rPr>
                <w:rFonts w:cs="Times New Roman"/>
                <w:sz w:val="22"/>
                <w:szCs w:val="22"/>
              </w:rPr>
              <w:t>рограмма реализуется в один этап</w:t>
            </w:r>
            <w:r w:rsidR="007B263D">
              <w:rPr>
                <w:rFonts w:cs="Times New Roman"/>
                <w:sz w:val="22"/>
                <w:szCs w:val="22"/>
              </w:rPr>
              <w:t xml:space="preserve"> - 202</w:t>
            </w:r>
            <w:r w:rsidR="00A72EB9">
              <w:rPr>
                <w:rFonts w:cs="Times New Roman"/>
                <w:sz w:val="22"/>
                <w:szCs w:val="22"/>
              </w:rPr>
              <w:t>5</w:t>
            </w:r>
            <w:r w:rsidR="007B263D" w:rsidRPr="0001560F">
              <w:rPr>
                <w:rFonts w:cs="Times New Roman"/>
                <w:sz w:val="22"/>
                <w:szCs w:val="22"/>
              </w:rPr>
              <w:t>-202</w:t>
            </w:r>
            <w:r w:rsidR="00A72EB9">
              <w:rPr>
                <w:rFonts w:cs="Times New Roman"/>
                <w:sz w:val="22"/>
                <w:szCs w:val="22"/>
              </w:rPr>
              <w:t>9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E00B4F" w:rsidRDefault="007B263D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E00B4F">
              <w:rPr>
                <w:rFonts w:cs="Times New Roman"/>
                <w:sz w:val="22"/>
                <w:szCs w:val="22"/>
              </w:rPr>
              <w:t>5 250</w:t>
            </w:r>
            <w:r w:rsidR="000B2086" w:rsidRPr="00E00B4F">
              <w:rPr>
                <w:rFonts w:cs="Times New Roman"/>
                <w:sz w:val="22"/>
                <w:szCs w:val="22"/>
              </w:rPr>
              <w:t xml:space="preserve"> </w:t>
            </w:r>
            <w:r w:rsidRPr="00E00B4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7B263D" w:rsidRPr="00E00B4F" w:rsidRDefault="007B263D" w:rsidP="00CF0F78">
            <w:pPr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  <w:szCs w:val="22"/>
              </w:rPr>
              <w:t>202</w:t>
            </w:r>
            <w:r w:rsidR="00A72EB9" w:rsidRPr="00E00B4F">
              <w:rPr>
                <w:rFonts w:cs="Times New Roman"/>
                <w:sz w:val="22"/>
                <w:szCs w:val="22"/>
              </w:rPr>
              <w:t>5</w:t>
            </w:r>
            <w:r w:rsidRPr="00E00B4F">
              <w:rPr>
                <w:rFonts w:cs="Times New Roman"/>
                <w:sz w:val="22"/>
                <w:szCs w:val="22"/>
              </w:rPr>
              <w:t xml:space="preserve"> год – </w:t>
            </w:r>
            <w:r w:rsidR="00E00B4F">
              <w:rPr>
                <w:rFonts w:cs="Times New Roman"/>
                <w:sz w:val="22"/>
                <w:szCs w:val="22"/>
              </w:rPr>
              <w:t>1 050,0</w:t>
            </w:r>
            <w:r w:rsidRPr="00E00B4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E00B4F" w:rsidRDefault="00134895" w:rsidP="00CF0F78">
            <w:pPr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  <w:szCs w:val="22"/>
              </w:rPr>
              <w:t>202</w:t>
            </w:r>
            <w:r w:rsidR="00A72EB9" w:rsidRPr="00E00B4F">
              <w:rPr>
                <w:rFonts w:cs="Times New Roman"/>
                <w:sz w:val="22"/>
                <w:szCs w:val="22"/>
              </w:rPr>
              <w:t>6</w:t>
            </w:r>
            <w:r w:rsidR="007B263D" w:rsidRPr="00E00B4F">
              <w:rPr>
                <w:rFonts w:cs="Times New Roman"/>
                <w:sz w:val="22"/>
                <w:szCs w:val="22"/>
              </w:rPr>
              <w:t xml:space="preserve"> год – </w:t>
            </w:r>
            <w:r w:rsidR="00E00B4F">
              <w:rPr>
                <w:rFonts w:cs="Times New Roman"/>
                <w:sz w:val="22"/>
                <w:szCs w:val="22"/>
              </w:rPr>
              <w:t>1 050,0</w:t>
            </w:r>
            <w:r w:rsidR="007B263D" w:rsidRPr="00E00B4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E00B4F" w:rsidRDefault="00134895" w:rsidP="00CF0F78">
            <w:pPr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  <w:szCs w:val="22"/>
              </w:rPr>
              <w:t>202</w:t>
            </w:r>
            <w:r w:rsidR="00A72EB9" w:rsidRPr="00E00B4F">
              <w:rPr>
                <w:rFonts w:cs="Times New Roman"/>
                <w:sz w:val="22"/>
                <w:szCs w:val="22"/>
              </w:rPr>
              <w:t>7</w:t>
            </w:r>
            <w:r w:rsidR="007B263D" w:rsidRPr="00E00B4F">
              <w:rPr>
                <w:rFonts w:cs="Times New Roman"/>
                <w:sz w:val="22"/>
                <w:szCs w:val="22"/>
              </w:rPr>
              <w:t xml:space="preserve"> год – </w:t>
            </w:r>
            <w:r w:rsidR="00E00B4F">
              <w:rPr>
                <w:rFonts w:cs="Times New Roman"/>
                <w:sz w:val="22"/>
                <w:szCs w:val="22"/>
              </w:rPr>
              <w:t>1 050,0</w:t>
            </w:r>
            <w:r w:rsidR="007B263D" w:rsidRPr="00E00B4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E00B4F" w:rsidRDefault="00134895" w:rsidP="00CF0F78">
            <w:pPr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  <w:szCs w:val="22"/>
              </w:rPr>
              <w:t>202</w:t>
            </w:r>
            <w:r w:rsidR="00A72EB9" w:rsidRPr="00E00B4F">
              <w:rPr>
                <w:rFonts w:cs="Times New Roman"/>
                <w:sz w:val="22"/>
                <w:szCs w:val="22"/>
              </w:rPr>
              <w:t>8</w:t>
            </w:r>
            <w:r w:rsidR="007B263D" w:rsidRPr="00E00B4F">
              <w:rPr>
                <w:rFonts w:cs="Times New Roman"/>
                <w:sz w:val="22"/>
                <w:szCs w:val="22"/>
              </w:rPr>
              <w:t xml:space="preserve"> год – </w:t>
            </w:r>
            <w:r w:rsidR="00E00B4F">
              <w:rPr>
                <w:rFonts w:cs="Times New Roman"/>
                <w:sz w:val="22"/>
                <w:szCs w:val="22"/>
              </w:rPr>
              <w:t>1 050,0</w:t>
            </w:r>
            <w:r w:rsidR="007B263D" w:rsidRPr="00E00B4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977F38" w:rsidRDefault="00134895" w:rsidP="00E00B4F">
            <w:pPr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  <w:szCs w:val="22"/>
              </w:rPr>
              <w:t>202</w:t>
            </w:r>
            <w:r w:rsidR="00A72EB9" w:rsidRPr="00E00B4F">
              <w:rPr>
                <w:rFonts w:cs="Times New Roman"/>
                <w:sz w:val="22"/>
                <w:szCs w:val="22"/>
              </w:rPr>
              <w:t>9</w:t>
            </w:r>
            <w:r w:rsidR="00012E40" w:rsidRPr="00E00B4F">
              <w:rPr>
                <w:rFonts w:cs="Times New Roman"/>
                <w:sz w:val="22"/>
                <w:szCs w:val="22"/>
              </w:rPr>
              <w:t xml:space="preserve"> год – </w:t>
            </w:r>
            <w:r w:rsidR="00E00B4F">
              <w:rPr>
                <w:rFonts w:cs="Times New Roman"/>
                <w:sz w:val="22"/>
                <w:szCs w:val="22"/>
              </w:rPr>
              <w:t>1 050,0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7B263D">
              <w:rPr>
                <w:rFonts w:cs="Times New Roman"/>
                <w:sz w:val="22"/>
                <w:szCs w:val="22"/>
              </w:rPr>
              <w:t xml:space="preserve"> </w:t>
            </w:r>
            <w:r w:rsidR="007B263D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Default="00134895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Профилактика предпосылок подготовки и совершения террористических актов на территории общеобразовательных учреждений муниципального района Похвистневс</w:t>
            </w:r>
            <w:r w:rsidR="0078147B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</w:t>
            </w:r>
          </w:p>
          <w:p w:rsidR="00B176BB" w:rsidRDefault="00B176B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эффективной системы безопасности, направленной на предупреждение и предотвращения террористических угроз</w:t>
            </w:r>
          </w:p>
          <w:p w:rsidR="0078147B" w:rsidRDefault="007814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безопасности жизни и здоровья воспитанников, учащихся и сотрудников общеобразовательных учреждений</w:t>
            </w:r>
          </w:p>
          <w:p w:rsidR="0078147B" w:rsidRDefault="0078147B" w:rsidP="00CF0F78">
            <w:pPr>
              <w:rPr>
                <w:rFonts w:cs="Times New Roman"/>
                <w:sz w:val="22"/>
              </w:rPr>
            </w:pPr>
          </w:p>
          <w:p w:rsidR="007B263D" w:rsidRPr="00AF5FC2" w:rsidRDefault="007B263D" w:rsidP="00CF0F78">
            <w:pPr>
              <w:rPr>
                <w:rFonts w:cs="Times New Roman"/>
                <w:sz w:val="22"/>
              </w:rPr>
            </w:pP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4A4C04" w:rsidRDefault="004A4C04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6A20BE" w:rsidRDefault="006A20BE" w:rsidP="003672E7">
      <w:pPr>
        <w:jc w:val="center"/>
        <w:rPr>
          <w:rFonts w:cs="Times New Roman"/>
          <w:b/>
          <w:sz w:val="22"/>
          <w:szCs w:val="22"/>
        </w:rPr>
      </w:pPr>
    </w:p>
    <w:p w:rsidR="006A20BE" w:rsidRDefault="006A20BE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Pr="004A4C04" w:rsidRDefault="003672E7" w:rsidP="004A4C04">
      <w:pPr>
        <w:pStyle w:val="a3"/>
        <w:numPr>
          <w:ilvl w:val="0"/>
          <w:numId w:val="3"/>
        </w:numPr>
        <w:jc w:val="center"/>
        <w:rPr>
          <w:rFonts w:cs="Times New Roman"/>
          <w:b/>
          <w:sz w:val="22"/>
          <w:szCs w:val="22"/>
        </w:rPr>
      </w:pPr>
      <w:r w:rsidRPr="004A4C04">
        <w:rPr>
          <w:rFonts w:cs="Times New Roman"/>
          <w:b/>
          <w:sz w:val="22"/>
          <w:szCs w:val="22"/>
        </w:rPr>
        <w:lastRenderedPageBreak/>
        <w:t>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="00A72EB9">
        <w:rPr>
          <w:rFonts w:cs="Times New Roman"/>
          <w:b/>
          <w:sz w:val="22"/>
          <w:szCs w:val="22"/>
        </w:rPr>
        <w:t>п</w:t>
      </w:r>
      <w:r w:rsidR="00A72EB9" w:rsidRPr="0001560F">
        <w:rPr>
          <w:rFonts w:cs="Times New Roman"/>
          <w:b/>
          <w:sz w:val="22"/>
          <w:szCs w:val="22"/>
        </w:rPr>
        <w:t>рограммы «</w:t>
      </w:r>
      <w:r w:rsidR="00B176BB" w:rsidRPr="00B176BB">
        <w:rPr>
          <w:rFonts w:cs="Times New Roman"/>
          <w:b/>
          <w:sz w:val="22"/>
          <w:szCs w:val="22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 w:rsidR="00A72EB9">
        <w:rPr>
          <w:rFonts w:cs="Times New Roman"/>
          <w:b/>
          <w:sz w:val="22"/>
          <w:szCs w:val="22"/>
        </w:rPr>
        <w:t>5</w:t>
      </w:r>
      <w:r w:rsidR="00B176BB" w:rsidRPr="00B176BB">
        <w:rPr>
          <w:rFonts w:cs="Times New Roman"/>
          <w:b/>
          <w:sz w:val="22"/>
          <w:szCs w:val="22"/>
        </w:rPr>
        <w:t>-202</w:t>
      </w:r>
      <w:r w:rsidR="00A72EB9">
        <w:rPr>
          <w:rFonts w:cs="Times New Roman"/>
          <w:b/>
          <w:sz w:val="22"/>
          <w:szCs w:val="22"/>
        </w:rPr>
        <w:t>9</w:t>
      </w:r>
      <w:r w:rsidR="00B176BB" w:rsidRPr="00B176BB">
        <w:rPr>
          <w:rFonts w:cs="Times New Roman"/>
          <w:b/>
          <w:sz w:val="22"/>
          <w:szCs w:val="22"/>
        </w:rPr>
        <w:t xml:space="preserve"> годы</w:t>
      </w:r>
      <w:r w:rsidRPr="0001560F">
        <w:rPr>
          <w:rFonts w:cs="Times New Roman"/>
          <w:b/>
          <w:sz w:val="22"/>
          <w:szCs w:val="22"/>
        </w:rPr>
        <w:t>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Муниципальная  </w:t>
      </w:r>
      <w:r w:rsidR="009B517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рограмма</w:t>
      </w:r>
      <w:r>
        <w:rPr>
          <w:rFonts w:cs="Times New Roman"/>
          <w:sz w:val="22"/>
          <w:szCs w:val="22"/>
        </w:rPr>
        <w:t xml:space="preserve"> «</w:t>
      </w:r>
      <w:r w:rsidR="00B176BB" w:rsidRPr="00B176BB">
        <w:rPr>
          <w:rFonts w:cs="Times New Roman"/>
          <w:sz w:val="22"/>
          <w:szCs w:val="22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>
        <w:rPr>
          <w:rFonts w:cs="Times New Roman"/>
          <w:sz w:val="22"/>
          <w:szCs w:val="22"/>
        </w:rPr>
        <w:t>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</w:p>
    <w:p w:rsidR="00997226" w:rsidRDefault="00B176BB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Антитеррористическая б</w:t>
      </w:r>
      <w:r w:rsidRPr="003C11E2">
        <w:rPr>
          <w:sz w:val="22"/>
          <w:szCs w:val="22"/>
        </w:rPr>
        <w:t xml:space="preserve">езопасность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- это условия сохранения жизни и здоровья обучающихся, воспитанников и работников, а также материальных ценностей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от возможных </w:t>
      </w:r>
      <w:r>
        <w:rPr>
          <w:sz w:val="22"/>
          <w:szCs w:val="22"/>
        </w:rPr>
        <w:t>проявлений терроризма</w:t>
      </w:r>
      <w:r w:rsidRPr="003C11E2">
        <w:rPr>
          <w:sz w:val="22"/>
          <w:szCs w:val="22"/>
        </w:rPr>
        <w:t>, чрезвычайных ситуаций</w:t>
      </w:r>
      <w:r w:rsidR="001C633F">
        <w:rPr>
          <w:sz w:val="22"/>
          <w:szCs w:val="22"/>
        </w:rPr>
        <w:t>.</w:t>
      </w:r>
      <w:r w:rsidRPr="00B176BB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Проблема построения эффективной системы обеспечения </w:t>
      </w:r>
      <w:r>
        <w:rPr>
          <w:sz w:val="22"/>
          <w:szCs w:val="22"/>
        </w:rPr>
        <w:t xml:space="preserve">антитеррористической </w:t>
      </w:r>
      <w:r w:rsidRPr="003C11E2">
        <w:rPr>
          <w:sz w:val="22"/>
          <w:szCs w:val="22"/>
        </w:rPr>
        <w:t xml:space="preserve">безопасности должна решаться с учетом специфики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Среди различных видов безопасности для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приоритетным явля</w:t>
      </w:r>
      <w:r w:rsidR="00997226">
        <w:rPr>
          <w:sz w:val="22"/>
          <w:szCs w:val="22"/>
        </w:rPr>
        <w:t>е</w:t>
      </w:r>
      <w:r w:rsidRPr="003C11E2">
        <w:rPr>
          <w:sz w:val="22"/>
          <w:szCs w:val="22"/>
        </w:rPr>
        <w:t xml:space="preserve">тся </w:t>
      </w:r>
      <w:r w:rsidR="00997226">
        <w:rPr>
          <w:sz w:val="22"/>
          <w:szCs w:val="22"/>
        </w:rPr>
        <w:t>антитеррористическая</w:t>
      </w:r>
      <w:r w:rsidRPr="003C11E2">
        <w:rPr>
          <w:sz w:val="22"/>
          <w:szCs w:val="22"/>
        </w:rPr>
        <w:t xml:space="preserve"> безопасность.</w:t>
      </w:r>
      <w:r w:rsidR="00997226" w:rsidRPr="00997226">
        <w:rPr>
          <w:sz w:val="22"/>
          <w:szCs w:val="22"/>
        </w:rPr>
        <w:t xml:space="preserve"> </w:t>
      </w:r>
      <w:r w:rsidR="00997226" w:rsidRPr="003C11E2">
        <w:rPr>
          <w:sz w:val="22"/>
          <w:szCs w:val="22"/>
        </w:rPr>
        <w:t xml:space="preserve">Основными характерными факторами, обеспечивающими </w:t>
      </w:r>
      <w:r w:rsidR="00997226">
        <w:rPr>
          <w:sz w:val="22"/>
          <w:szCs w:val="22"/>
        </w:rPr>
        <w:t>антитеррористическую</w:t>
      </w:r>
      <w:r w:rsidR="00997226" w:rsidRPr="003C11E2">
        <w:rPr>
          <w:sz w:val="22"/>
          <w:szCs w:val="22"/>
        </w:rPr>
        <w:t xml:space="preserve"> безопасность </w:t>
      </w:r>
      <w:r w:rsidR="00997226">
        <w:rPr>
          <w:sz w:val="22"/>
          <w:szCs w:val="22"/>
        </w:rPr>
        <w:t>обще</w:t>
      </w:r>
      <w:r w:rsidR="00997226" w:rsidRPr="003C11E2">
        <w:rPr>
          <w:sz w:val="22"/>
          <w:szCs w:val="22"/>
        </w:rPr>
        <w:t>образовательного учреждения, являются: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оснащение объектов (территорий) системами передачи тревожных сообщений в подразделения войск национальной гвардии РФ или систему обеспечения вызова экстренных оперативных служб по единому номеру «112» и поддержание их исправном состоянии;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оборудование объектов (территорий) системами оповещения и управления эвакуацией людей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</w:t>
      </w:r>
      <w:proofErr w:type="spellStart"/>
      <w:r>
        <w:rPr>
          <w:sz w:val="22"/>
          <w:szCs w:val="22"/>
        </w:rPr>
        <w:t>о</w:t>
      </w:r>
      <w:proofErr w:type="spellEnd"/>
      <w:r>
        <w:rPr>
          <w:sz w:val="22"/>
          <w:szCs w:val="22"/>
        </w:rPr>
        <w:t xml:space="preserve"> возникновении ЧС;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оснащение объектов (территорий) системой наружного освещения;</w:t>
      </w:r>
    </w:p>
    <w:p w:rsidR="00997226" w:rsidRDefault="0099722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оснащение объектов (территорий) системами видеонаблюдения и охранной сигнализации;</w:t>
      </w:r>
    </w:p>
    <w:p w:rsidR="00997226" w:rsidRDefault="0099722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обеспечение охраны объектов (территорий) сотрудниками частных охранных организаций, подразделениями вневедомственной охраны войск национальной гвардии Ро</w:t>
      </w:r>
      <w:r w:rsidR="002566C6">
        <w:rPr>
          <w:sz w:val="22"/>
          <w:szCs w:val="22"/>
        </w:rPr>
        <w:t>ссийской Федерации, военизированными и сторожевыми подразделениями организации, подведомственной Федеральной службе войск национальной гвардии РФ, или подразделениями ведомственной охраны федеральных органов исполнительной власти, имеющих право на создание ведомственной охраны;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оборудование на первом этаже помещения для охраны с установкой в нем систем видеонаблюдения, охранной сигнализации и средств передачи тревожных сообщений в подразделения войск национальной гвардии РФ (подразделения вневедомственной охраны войск национальной гвардии РФ);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D6C27">
        <w:rPr>
          <w:sz w:val="22"/>
          <w:szCs w:val="22"/>
        </w:rPr>
        <w:t xml:space="preserve"> оборудование основных входов в здания, входящие в состав объектов (территорий), контрольно-пропускными пунктами (постами охраны).</w:t>
      </w:r>
    </w:p>
    <w:p w:rsidR="004D6C27" w:rsidRDefault="004D6C27" w:rsidP="00997226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антитеррористической  безопасности объектов (территорий), занимаемых государственными бюджетными общеобразовательными учреждениями (далее ГБОУ), должно обеспечить их сохранность, долговечность, надежность и постоянную безопасность функционирования.</w:t>
      </w:r>
    </w:p>
    <w:p w:rsidR="004D6C27" w:rsidRDefault="004D6C27" w:rsidP="004D6C2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</w:t>
      </w:r>
      <w:r w:rsidR="009F237F">
        <w:rPr>
          <w:rFonts w:cs="Times New Roman"/>
          <w:sz w:val="22"/>
          <w:szCs w:val="22"/>
        </w:rPr>
        <w:t xml:space="preserve"> и органов местного самоуправления</w:t>
      </w:r>
      <w:r w:rsidRPr="0056157F">
        <w:rPr>
          <w:rFonts w:cs="Times New Roman"/>
          <w:sz w:val="22"/>
          <w:szCs w:val="22"/>
        </w:rPr>
        <w:t>, обслуживаемых Учреждением, на территории  муниципального района Похвистне</w:t>
      </w:r>
      <w:r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9F237F">
        <w:rPr>
          <w:rFonts w:cs="Times New Roman"/>
          <w:sz w:val="22"/>
          <w:szCs w:val="22"/>
        </w:rPr>
        <w:t>8</w:t>
      </w:r>
      <w:r w:rsidRPr="0056157F">
        <w:rPr>
          <w:rFonts w:cs="Times New Roman"/>
          <w:sz w:val="22"/>
          <w:szCs w:val="22"/>
        </w:rPr>
        <w:t xml:space="preserve"> объектов</w:t>
      </w:r>
      <w:r>
        <w:rPr>
          <w:rFonts w:cs="Times New Roman"/>
          <w:sz w:val="22"/>
          <w:szCs w:val="22"/>
        </w:rPr>
        <w:t>. Все 3</w:t>
      </w:r>
      <w:r w:rsidR="009F237F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объектов имеют паспорта безопасности. По паспортам безопасности объектами 4- ой категории признаны 2</w:t>
      </w:r>
      <w:r w:rsidR="009F237F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 xml:space="preserve"> объект и 3-ей –</w:t>
      </w:r>
      <w:r w:rsidR="00AE3CF0">
        <w:rPr>
          <w:rFonts w:cs="Times New Roman"/>
          <w:sz w:val="22"/>
          <w:szCs w:val="22"/>
        </w:rPr>
        <w:t xml:space="preserve"> 1</w:t>
      </w:r>
      <w:r w:rsidR="009F237F">
        <w:rPr>
          <w:rFonts w:cs="Times New Roman"/>
          <w:sz w:val="22"/>
          <w:szCs w:val="22"/>
        </w:rPr>
        <w:t>7</w:t>
      </w:r>
      <w:r>
        <w:rPr>
          <w:rFonts w:cs="Times New Roman"/>
          <w:sz w:val="22"/>
          <w:szCs w:val="22"/>
        </w:rPr>
        <w:t xml:space="preserve"> объектов.</w:t>
      </w:r>
      <w:r w:rsidR="009F237F">
        <w:rPr>
          <w:rFonts w:cs="Times New Roman"/>
          <w:sz w:val="22"/>
          <w:szCs w:val="22"/>
        </w:rPr>
        <w:t xml:space="preserve"> 38 объектов образовательных учреждений и здание органов местного самоуправления оснащены кнопками тревожной сигнализации. 16 объектов образовательных учреждений 3-ей категории безопасности обеспечены охраной сотрудниками частных охранных организаций. </w:t>
      </w:r>
      <w:r>
        <w:rPr>
          <w:rFonts w:cs="Times New Roman"/>
          <w:sz w:val="22"/>
          <w:szCs w:val="22"/>
        </w:rPr>
        <w:t xml:space="preserve"> Основным направлением программы по антитеррористической защищенности объектов (территорий) является создание эффективной системы безопасности, направленных на предупреждение и предотвращения террористических угроз и в целом обеспечении безопасности жизни и здоровья, воспитанников, учащихся и сотрудников ГБОУ.</w:t>
      </w:r>
    </w:p>
    <w:p w:rsidR="007C6685" w:rsidRDefault="007C6685" w:rsidP="007C6685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lastRenderedPageBreak/>
        <w:t xml:space="preserve">Данная </w:t>
      </w:r>
      <w:r>
        <w:rPr>
          <w:sz w:val="22"/>
          <w:szCs w:val="22"/>
        </w:rPr>
        <w:t>муниципальная п</w:t>
      </w:r>
      <w:r w:rsidRPr="003C11E2">
        <w:rPr>
          <w:sz w:val="22"/>
          <w:szCs w:val="22"/>
        </w:rPr>
        <w:t xml:space="preserve">рограмма является </w:t>
      </w:r>
      <w:r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>
        <w:rPr>
          <w:sz w:val="22"/>
          <w:szCs w:val="22"/>
        </w:rPr>
        <w:t xml:space="preserve">по антитеррористической безопасности, проводимых органами местного самоуправления в зданиях ГБОУ </w:t>
      </w:r>
      <w:r w:rsidRPr="003C11E2">
        <w:rPr>
          <w:sz w:val="22"/>
          <w:szCs w:val="22"/>
        </w:rPr>
        <w:t>муниципально</w:t>
      </w:r>
      <w:r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>
        <w:rPr>
          <w:sz w:val="22"/>
          <w:szCs w:val="22"/>
        </w:rPr>
        <w:t>района Похвистневский Самарской области. Муниципальная программа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</w:t>
      </w:r>
      <w:r>
        <w:rPr>
          <w:sz w:val="22"/>
          <w:szCs w:val="22"/>
        </w:rPr>
        <w:t>террористических актов, совершенных в образовательных учреждениях РФ</w:t>
      </w:r>
      <w:r w:rsidRPr="003C11E2">
        <w:rPr>
          <w:sz w:val="22"/>
          <w:szCs w:val="22"/>
        </w:rPr>
        <w:t>.</w:t>
      </w:r>
      <w:r>
        <w:rPr>
          <w:sz w:val="22"/>
          <w:szCs w:val="22"/>
        </w:rPr>
        <w:t xml:space="preserve"> Например, </w:t>
      </w:r>
      <w:r w:rsidRPr="007C6685">
        <w:rPr>
          <w:sz w:val="22"/>
          <w:szCs w:val="22"/>
        </w:rPr>
        <w:t xml:space="preserve">20 сентября 2021 года неизвестный открыл </w:t>
      </w:r>
      <w:hyperlink r:id="rId6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стрельбу на территории Пермского государственного национального исследовательского университета</w:t>
        </w:r>
      </w:hyperlink>
      <w:r>
        <w:rPr>
          <w:sz w:val="24"/>
        </w:rPr>
        <w:t xml:space="preserve">, </w:t>
      </w:r>
      <w:r w:rsidRPr="007C6685">
        <w:rPr>
          <w:rStyle w:val="a8"/>
          <w:b w:val="0"/>
          <w:sz w:val="22"/>
          <w:szCs w:val="22"/>
        </w:rPr>
        <w:t>18 мая</w:t>
      </w:r>
      <w:r w:rsidRPr="007C6685">
        <w:rPr>
          <w:sz w:val="22"/>
          <w:szCs w:val="22"/>
        </w:rPr>
        <w:t xml:space="preserve"> </w:t>
      </w:r>
      <w:hyperlink r:id="rId7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в Воронеже днем во время урока физкультуры</w:t>
        </w:r>
      </w:hyperlink>
      <w:r w:rsidRPr="007C6685">
        <w:rPr>
          <w:sz w:val="22"/>
          <w:szCs w:val="22"/>
        </w:rPr>
        <w:t xml:space="preserve"> в школе №85 к одному из учеников пятого класса подошел неизвестный мужчина и показал предмет, похожий на пистолет</w:t>
      </w:r>
      <w:r>
        <w:rPr>
          <w:sz w:val="22"/>
          <w:szCs w:val="22"/>
        </w:rPr>
        <w:t xml:space="preserve">, </w:t>
      </w:r>
      <w:r w:rsidRPr="007C6685">
        <w:rPr>
          <w:rStyle w:val="a8"/>
          <w:b w:val="0"/>
          <w:sz w:val="22"/>
          <w:szCs w:val="22"/>
        </w:rPr>
        <w:t>11 мая</w:t>
      </w:r>
      <w:r w:rsidRPr="007C6685">
        <w:rPr>
          <w:sz w:val="22"/>
          <w:szCs w:val="22"/>
        </w:rPr>
        <w:t xml:space="preserve"> </w:t>
      </w:r>
      <w:hyperlink r:id="rId8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в Казани (Татарстан)</w:t>
        </w:r>
      </w:hyperlink>
      <w:r w:rsidRPr="007C6685">
        <w:rPr>
          <w:sz w:val="22"/>
          <w:szCs w:val="22"/>
        </w:rPr>
        <w:t xml:space="preserve"> 19-летний </w:t>
      </w:r>
      <w:proofErr w:type="spellStart"/>
      <w:r w:rsidRPr="007C6685">
        <w:rPr>
          <w:sz w:val="22"/>
          <w:szCs w:val="22"/>
        </w:rPr>
        <w:t>Ильназ</w:t>
      </w:r>
      <w:proofErr w:type="spellEnd"/>
      <w:r w:rsidRPr="007C6685">
        <w:rPr>
          <w:sz w:val="22"/>
          <w:szCs w:val="22"/>
        </w:rPr>
        <w:t xml:space="preserve"> </w:t>
      </w:r>
      <w:proofErr w:type="spellStart"/>
      <w:r w:rsidRPr="007C6685">
        <w:rPr>
          <w:sz w:val="22"/>
          <w:szCs w:val="22"/>
        </w:rPr>
        <w:t>Галя</w:t>
      </w:r>
      <w:bookmarkStart w:id="0" w:name="_GoBack"/>
      <w:bookmarkEnd w:id="0"/>
      <w:r w:rsidRPr="007C6685">
        <w:rPr>
          <w:sz w:val="22"/>
          <w:szCs w:val="22"/>
        </w:rPr>
        <w:t>виев</w:t>
      </w:r>
      <w:proofErr w:type="spellEnd"/>
      <w:r w:rsidRPr="007C6685">
        <w:rPr>
          <w:sz w:val="22"/>
          <w:szCs w:val="22"/>
        </w:rPr>
        <w:t xml:space="preserve"> устроил взрыв и стрельбу в гимназии № 175, </w:t>
      </w:r>
      <w:hyperlink r:id="rId9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убив семерых детей и двух учителей, еще 24 человека пострадали.</w:t>
        </w:r>
      </w:hyperlink>
    </w:p>
    <w:p w:rsidR="00DE089E" w:rsidRDefault="00DE089E" w:rsidP="007C66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Финансирование данной муниципальной программы позволит решить ряд проблем, связанных с антитеррористической защищенностью, недопущение материальных потерь от действий террористической направленности, т.е. сократить непредвиденные затраты и расходы бюджета муниципального района Похвистневский.  </w:t>
      </w:r>
    </w:p>
    <w:p w:rsidR="00DE089E" w:rsidRDefault="00DE089E" w:rsidP="00DE089E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>
        <w:rPr>
          <w:rFonts w:cs="Times New Roman"/>
          <w:sz w:val="22"/>
          <w:szCs w:val="22"/>
        </w:rPr>
        <w:t>ъёме требований к антитеррористической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объектов (территорий)</w:t>
      </w:r>
      <w:r w:rsidRPr="00292EB8">
        <w:rPr>
          <w:rFonts w:cs="Times New Roman"/>
          <w:sz w:val="22"/>
          <w:szCs w:val="22"/>
        </w:rPr>
        <w:t xml:space="preserve"> затрудняет их лицензирование,</w:t>
      </w:r>
      <w:r>
        <w:rPr>
          <w:rFonts w:cs="Times New Roman"/>
          <w:sz w:val="22"/>
          <w:szCs w:val="22"/>
        </w:rPr>
        <w:t xml:space="preserve"> качественное осуществление уставной деятельности ГБОУ,</w:t>
      </w:r>
      <w:r w:rsidRPr="00292EB8">
        <w:rPr>
          <w:rFonts w:cs="Times New Roman"/>
          <w:sz w:val="22"/>
          <w:szCs w:val="22"/>
        </w:rPr>
        <w:t xml:space="preserve"> ведёт к ухудшению условий обучения</w:t>
      </w:r>
      <w:r>
        <w:rPr>
          <w:rFonts w:cs="Times New Roman"/>
          <w:sz w:val="22"/>
          <w:szCs w:val="22"/>
        </w:rPr>
        <w:t xml:space="preserve"> и воспитания</w:t>
      </w:r>
      <w:r w:rsidRPr="00292EB8">
        <w:rPr>
          <w:rFonts w:cs="Times New Roman"/>
          <w:sz w:val="22"/>
          <w:szCs w:val="22"/>
        </w:rPr>
        <w:t>.</w:t>
      </w:r>
    </w:p>
    <w:p w:rsidR="00DE089E" w:rsidRPr="00292EB8" w:rsidRDefault="00DE089E" w:rsidP="00DE089E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DE089E" w:rsidRDefault="00DE089E" w:rsidP="00DE089E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DE089E" w:rsidRDefault="00DE089E" w:rsidP="00DE089E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DE089E" w:rsidRPr="00292EB8" w:rsidRDefault="00DE089E" w:rsidP="00DE089E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конструктивные особенности зданий; </w:t>
      </w:r>
    </w:p>
    <w:p w:rsidR="00DE089E" w:rsidRDefault="00DE089E" w:rsidP="00DE089E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190" w:rsidRDefault="00367190" w:rsidP="00367190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</w:t>
      </w:r>
      <w:proofErr w:type="spellStart"/>
      <w:r w:rsidRPr="00292EB8">
        <w:rPr>
          <w:rFonts w:cs="Times New Roman"/>
          <w:sz w:val="22"/>
          <w:szCs w:val="22"/>
        </w:rPr>
        <w:t>софинансирования</w:t>
      </w:r>
      <w:proofErr w:type="spellEnd"/>
      <w:r w:rsidRPr="00292EB8">
        <w:rPr>
          <w:rFonts w:cs="Times New Roman"/>
          <w:sz w:val="22"/>
          <w:szCs w:val="22"/>
        </w:rPr>
        <w:t xml:space="preserve"> и за счет обеспечения постоянного и оперативного мониторинга реализации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A22DC4" w:rsidRPr="00A22DC4" w:rsidRDefault="00A22DC4" w:rsidP="00A22DC4">
      <w:pPr>
        <w:ind w:firstLine="567"/>
        <w:jc w:val="both"/>
        <w:rPr>
          <w:rFonts w:cs="Times New Roman"/>
          <w:sz w:val="22"/>
          <w:szCs w:val="22"/>
        </w:rPr>
      </w:pPr>
      <w:r w:rsidRPr="00A22DC4">
        <w:rPr>
          <w:rFonts w:cs="Times New Roman"/>
          <w:sz w:val="22"/>
          <w:szCs w:val="22"/>
        </w:rPr>
        <w:t xml:space="preserve">В соответствии </w:t>
      </w:r>
      <w:hyperlink r:id="rId10" w:history="1">
        <w:r w:rsidRPr="00A22DC4">
          <w:rPr>
            <w:rFonts w:cs="Times New Roman"/>
            <w:sz w:val="22"/>
            <w:szCs w:val="22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A22DC4">
        <w:rPr>
          <w:rFonts w:cs="Times New Roman"/>
          <w:sz w:val="22"/>
          <w:szCs w:val="22"/>
        </w:rPr>
        <w:t xml:space="preserve"> Правительством Российской Федерации разработаны национальные проекты по 12 направлениям деятельности. Одним из важнейших национальных проектов являются «Образование» и «Демография». В рамках реализации данных проектов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росту обеспеченности безопасными и качественными услугами образования максимального количества детей района.</w:t>
      </w:r>
    </w:p>
    <w:p w:rsidR="00A22DC4" w:rsidRPr="00A22DC4" w:rsidRDefault="00A22DC4" w:rsidP="00A22DC4">
      <w:pPr>
        <w:ind w:firstLine="565"/>
        <w:jc w:val="both"/>
        <w:rPr>
          <w:rFonts w:cs="Times New Roman"/>
          <w:sz w:val="22"/>
          <w:szCs w:val="22"/>
        </w:rPr>
      </w:pPr>
      <w:r w:rsidRPr="00A22DC4">
        <w:rPr>
          <w:rFonts w:cs="Times New Roman"/>
          <w:sz w:val="22"/>
          <w:szCs w:val="22"/>
        </w:rPr>
        <w:t xml:space="preserve"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</w:t>
      </w:r>
      <w:r w:rsidRPr="00A22DC4">
        <w:rPr>
          <w:sz w:val="22"/>
          <w:szCs w:val="22"/>
        </w:rPr>
        <w:t>район высококлассного образования</w:t>
      </w:r>
      <w:r w:rsidRPr="00A22DC4">
        <w:rPr>
          <w:rFonts w:cs="Times New Roman"/>
          <w:sz w:val="22"/>
          <w:szCs w:val="22"/>
        </w:rPr>
        <w:t>».</w:t>
      </w:r>
    </w:p>
    <w:p w:rsidR="00A22DC4" w:rsidRPr="00292EB8" w:rsidRDefault="00A22DC4" w:rsidP="00A22DC4">
      <w:pPr>
        <w:ind w:firstLine="565"/>
        <w:jc w:val="both"/>
        <w:rPr>
          <w:rFonts w:cs="Times New Roman"/>
          <w:sz w:val="22"/>
          <w:szCs w:val="22"/>
        </w:rPr>
      </w:pPr>
      <w:r w:rsidRPr="00A22DC4">
        <w:rPr>
          <w:rFonts w:cs="Times New Roman"/>
          <w:sz w:val="22"/>
          <w:szCs w:val="22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367190" w:rsidRPr="00292EB8" w:rsidRDefault="00DE089E" w:rsidP="00367190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</w:t>
      </w:r>
      <w:r>
        <w:rPr>
          <w:rFonts w:cs="Times New Roman"/>
          <w:sz w:val="22"/>
          <w:szCs w:val="22"/>
        </w:rPr>
        <w:t xml:space="preserve">антитеррористической </w:t>
      </w:r>
      <w:r w:rsidRPr="00292EB8">
        <w:rPr>
          <w:rFonts w:cs="Times New Roman"/>
          <w:sz w:val="22"/>
          <w:szCs w:val="22"/>
        </w:rPr>
        <w:t>безопасности образовательного процесса, увеличения в разы финансирования</w:t>
      </w:r>
      <w:r w:rsidR="00367190">
        <w:rPr>
          <w:rFonts w:cs="Times New Roman"/>
          <w:sz w:val="22"/>
          <w:szCs w:val="22"/>
        </w:rPr>
        <w:t xml:space="preserve">, </w:t>
      </w:r>
      <w:r w:rsidR="00367190" w:rsidRPr="00292EB8">
        <w:rPr>
          <w:rFonts w:cs="Times New Roman"/>
          <w:sz w:val="22"/>
          <w:szCs w:val="22"/>
        </w:rPr>
        <w:t>в том числе, с привлечением средств областного и федерального бюджетов.</w:t>
      </w:r>
    </w:p>
    <w:p w:rsidR="003672E7" w:rsidRPr="00292EB8" w:rsidRDefault="00DE089E" w:rsidP="00DE089E">
      <w:pPr>
        <w:tabs>
          <w:tab w:val="left" w:pos="913"/>
        </w:tabs>
        <w:ind w:firstLine="913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</w:t>
      </w:r>
      <w:r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>
        <w:rPr>
          <w:rFonts w:cs="Times New Roman"/>
          <w:sz w:val="22"/>
          <w:szCs w:val="22"/>
        </w:rPr>
        <w:t>.</w:t>
      </w: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E831B2">
        <w:rPr>
          <w:rFonts w:cs="Times New Roman"/>
          <w:b/>
          <w:sz w:val="22"/>
          <w:szCs w:val="22"/>
        </w:rPr>
        <w:t xml:space="preserve">, </w:t>
      </w:r>
    </w:p>
    <w:p w:rsidR="00E831B2" w:rsidRPr="0001560F" w:rsidRDefault="00E831B2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08316F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 xml:space="preserve">рограммы направлена на достижение следующих целей: </w:t>
      </w:r>
    </w:p>
    <w:p w:rsidR="003672E7" w:rsidRPr="007A2034" w:rsidRDefault="003672E7" w:rsidP="003B080D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</w:t>
      </w:r>
      <w:r w:rsidR="003B080D">
        <w:rPr>
          <w:rFonts w:cs="Times New Roman"/>
          <w:color w:val="000000"/>
          <w:sz w:val="22"/>
          <w:szCs w:val="22"/>
        </w:rPr>
        <w:t xml:space="preserve"> </w:t>
      </w:r>
      <w:r w:rsidR="00367190">
        <w:rPr>
          <w:rFonts w:cs="Times New Roman"/>
          <w:color w:val="000000"/>
          <w:sz w:val="22"/>
          <w:szCs w:val="22"/>
        </w:rPr>
        <w:t>о</w:t>
      </w:r>
      <w:r w:rsidR="00367190">
        <w:rPr>
          <w:sz w:val="22"/>
          <w:szCs w:val="22"/>
        </w:rPr>
        <w:t xml:space="preserve">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</w:t>
      </w:r>
      <w:r w:rsidR="00367190">
        <w:rPr>
          <w:sz w:val="22"/>
          <w:szCs w:val="22"/>
        </w:rPr>
        <w:lastRenderedPageBreak/>
        <w:t>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противоэктремистской направленности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3B080D">
        <w:rPr>
          <w:rFonts w:cs="Times New Roman"/>
          <w:sz w:val="22"/>
          <w:szCs w:val="22"/>
        </w:rPr>
        <w:t>ой цели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 обеспечение нормативных требований, предъявляемых к зданиям (помещениям), занимаемых ГБОУ, согласно требованиям санитарно-эпидемиологического законодательства</w:t>
      </w:r>
      <w:r w:rsidR="00E00ACD">
        <w:rPr>
          <w:rFonts w:cs="Times New Roman"/>
          <w:sz w:val="22"/>
          <w:szCs w:val="22"/>
        </w:rPr>
        <w:t>,</w:t>
      </w:r>
      <w:r w:rsidR="00AE38AD">
        <w:rPr>
          <w:rFonts w:cs="Times New Roman"/>
          <w:sz w:val="22"/>
          <w:szCs w:val="22"/>
        </w:rPr>
        <w:t xml:space="preserve"> антитеррористической защищенности</w:t>
      </w:r>
      <w:r w:rsidR="00767BDD">
        <w:rPr>
          <w:rFonts w:cs="Times New Roman"/>
          <w:sz w:val="22"/>
          <w:szCs w:val="22"/>
        </w:rPr>
        <w:t>;</w:t>
      </w:r>
    </w:p>
    <w:p w:rsidR="003A5A2A" w:rsidRDefault="00AE38AD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367190">
        <w:rPr>
          <w:rFonts w:cs="Times New Roman"/>
          <w:sz w:val="22"/>
          <w:szCs w:val="22"/>
        </w:rPr>
        <w:t>усиление антитеррористической защищенности объектов образования, обеспечение безопасности образовательного процесса</w:t>
      </w:r>
      <w:r w:rsidR="003A5A2A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</w:t>
      </w:r>
      <w:r w:rsidR="00367190">
        <w:rPr>
          <w:rFonts w:cs="Times New Roman"/>
          <w:sz w:val="22"/>
          <w:szCs w:val="22"/>
        </w:rPr>
        <w:t xml:space="preserve"> антитеррористической</w:t>
      </w:r>
      <w:r w:rsidRPr="002E48B4">
        <w:rPr>
          <w:rFonts w:cs="Times New Roman"/>
          <w:sz w:val="22"/>
          <w:szCs w:val="22"/>
        </w:rPr>
        <w:t xml:space="preserve"> безопасности в соответствии с</w:t>
      </w:r>
      <w:r w:rsidR="00367190">
        <w:rPr>
          <w:rFonts w:cs="Times New Roman"/>
          <w:sz w:val="22"/>
          <w:szCs w:val="22"/>
        </w:rPr>
        <w:t xml:space="preserve"> Постановлением Правительства Российской Федерации от 02.08.2019 г. № 1006 </w:t>
      </w:r>
      <w:r w:rsidR="00AE38AD">
        <w:rPr>
          <w:rFonts w:cs="Times New Roman"/>
          <w:sz w:val="22"/>
          <w:szCs w:val="22"/>
        </w:rPr>
        <w:t>антитеррористической защищенностью зданий</w:t>
      </w:r>
      <w:r w:rsidRPr="002E48B4">
        <w:rPr>
          <w:rFonts w:cs="Times New Roman"/>
          <w:sz w:val="22"/>
          <w:szCs w:val="22"/>
        </w:rPr>
        <w:t xml:space="preserve">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</w:t>
      </w:r>
      <w:r w:rsidR="00367190">
        <w:rPr>
          <w:rFonts w:cs="Times New Roman"/>
          <w:sz w:val="22"/>
          <w:szCs w:val="22"/>
        </w:rPr>
        <w:t xml:space="preserve">и безопасных </w:t>
      </w:r>
      <w:r w:rsidRPr="002E48B4">
        <w:rPr>
          <w:rFonts w:cs="Times New Roman"/>
          <w:sz w:val="22"/>
          <w:szCs w:val="22"/>
        </w:rPr>
        <w:t>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</w:t>
      </w:r>
      <w:r w:rsidRPr="002E48B4">
        <w:rPr>
          <w:rFonts w:cs="Times New Roman"/>
          <w:sz w:val="22"/>
          <w:szCs w:val="22"/>
        </w:rPr>
        <w:t>.</w:t>
      </w:r>
      <w:r w:rsidR="00581155">
        <w:rPr>
          <w:rFonts w:cs="Times New Roman"/>
          <w:sz w:val="22"/>
          <w:szCs w:val="22"/>
        </w:rPr>
        <w:t xml:space="preserve"> </w:t>
      </w:r>
      <w:r w:rsidR="00AE38AD"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целевы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 w:rsidR="00AE38AD">
        <w:rPr>
          <w:rFonts w:cs="Times New Roman"/>
          <w:sz w:val="22"/>
          <w:szCs w:val="22"/>
        </w:rPr>
        <w:t>ей (индикаторов), характеризующих ежегодный ход и итоги реализации муниципальной программы</w:t>
      </w:r>
      <w:r w:rsidR="00581155">
        <w:rPr>
          <w:rFonts w:cs="Times New Roman"/>
          <w:sz w:val="22"/>
          <w:szCs w:val="22"/>
        </w:rPr>
        <w:t xml:space="preserve">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E831B2" w:rsidRPr="00E831B2" w:rsidRDefault="00E831B2" w:rsidP="00AE38AD">
      <w:pPr>
        <w:pStyle w:val="a3"/>
        <w:numPr>
          <w:ilvl w:val="0"/>
          <w:numId w:val="4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План мероприятий по выполнению муниципальной программы, </w:t>
      </w:r>
    </w:p>
    <w:p w:rsidR="003672E7" w:rsidRPr="00AE38AD" w:rsidRDefault="00E831B2" w:rsidP="00E831B2">
      <w:pPr>
        <w:pStyle w:val="a3"/>
        <w:ind w:left="1080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</w:t>
      </w:r>
      <w:r w:rsidR="00AE38AD">
        <w:rPr>
          <w:rFonts w:cs="Times New Roman"/>
          <w:b/>
          <w:sz w:val="22"/>
          <w:szCs w:val="22"/>
        </w:rPr>
        <w:t>еханизм реализации муниципальной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FA70AD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 w:rsidR="009F237F">
        <w:rPr>
          <w:rFonts w:cs="Times New Roman"/>
          <w:sz w:val="22"/>
          <w:szCs w:val="22"/>
        </w:rPr>
        <w:t>Администрация</w:t>
      </w:r>
      <w:r>
        <w:rPr>
          <w:rFonts w:cs="Times New Roman"/>
          <w:sz w:val="22"/>
          <w:szCs w:val="22"/>
        </w:rPr>
        <w:t xml:space="preserve"> муниципального района Похвистневский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исполнитель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>
        <w:rPr>
          <w:rFonts w:cs="Times New Roman"/>
          <w:sz w:val="22"/>
          <w:szCs w:val="22"/>
        </w:rPr>
        <w:t xml:space="preserve">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сайте </w:t>
      </w:r>
      <w:r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>
        <w:rPr>
          <w:rFonts w:cs="Times New Roman"/>
          <w:sz w:val="22"/>
          <w:szCs w:val="22"/>
        </w:rPr>
        <w:t>муниципальную 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>рограммы.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</w:t>
      </w:r>
      <w:r w:rsidRPr="0001560F">
        <w:rPr>
          <w:rFonts w:cs="Times New Roman"/>
          <w:sz w:val="22"/>
          <w:szCs w:val="22"/>
        </w:rPr>
        <w:lastRenderedPageBreak/>
        <w:t xml:space="preserve">готовит годовой отчет о ходе реализации и об оценке эффективности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>
        <w:rPr>
          <w:rFonts w:cs="Times New Roman"/>
          <w:sz w:val="22"/>
          <w:szCs w:val="22"/>
        </w:rPr>
        <w:t>муниципальную 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FA70AD" w:rsidRPr="0001560F" w:rsidRDefault="00FA70AD" w:rsidP="00FA70AD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муниципальной </w:t>
      </w:r>
      <w:r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>
        <w:rPr>
          <w:rFonts w:cs="Times New Roman"/>
          <w:sz w:val="22"/>
          <w:szCs w:val="22"/>
        </w:rPr>
        <w:t>муниципальной Пр</w:t>
      </w:r>
      <w:r w:rsidRPr="0001560F">
        <w:rPr>
          <w:rFonts w:cs="Times New Roman"/>
          <w:sz w:val="22"/>
          <w:szCs w:val="22"/>
        </w:rPr>
        <w:t>ограмме.</w:t>
      </w:r>
    </w:p>
    <w:p w:rsidR="00FA70AD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727F44">
        <w:rPr>
          <w:rFonts w:cs="Times New Roman"/>
          <w:b/>
          <w:sz w:val="22"/>
          <w:szCs w:val="22"/>
        </w:rPr>
        <w:t>муниципальной</w:t>
      </w:r>
      <w:r w:rsidR="003672E7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C52806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E00B4F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Pr="000A04BD">
        <w:rPr>
          <w:rFonts w:cs="Times New Roman"/>
          <w:b/>
          <w:sz w:val="22"/>
          <w:szCs w:val="22"/>
        </w:rPr>
        <w:t xml:space="preserve">рограммы составит </w:t>
      </w:r>
      <w:r w:rsidR="00E00B4F">
        <w:rPr>
          <w:rFonts w:cs="Times New Roman"/>
          <w:b/>
          <w:sz w:val="22"/>
          <w:szCs w:val="22"/>
        </w:rPr>
        <w:t>5 250,0</w:t>
      </w:r>
      <w:r w:rsidRPr="00E00B4F">
        <w:rPr>
          <w:rFonts w:cs="Times New Roman"/>
          <w:b/>
          <w:sz w:val="22"/>
          <w:szCs w:val="22"/>
        </w:rPr>
        <w:t xml:space="preserve"> тыс.</w:t>
      </w:r>
      <w:r w:rsidR="00593716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рублей, в том числе:</w:t>
      </w:r>
    </w:p>
    <w:p w:rsidR="003672E7" w:rsidRPr="00E00B4F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E00B4F">
        <w:rPr>
          <w:rFonts w:cs="Times New Roman"/>
          <w:b/>
          <w:sz w:val="22"/>
          <w:szCs w:val="22"/>
        </w:rPr>
        <w:t>20</w:t>
      </w:r>
      <w:r w:rsidR="00977F38" w:rsidRPr="00E00B4F">
        <w:rPr>
          <w:rFonts w:cs="Times New Roman"/>
          <w:b/>
          <w:sz w:val="22"/>
          <w:szCs w:val="22"/>
        </w:rPr>
        <w:t>2</w:t>
      </w:r>
      <w:r w:rsidR="008406A6" w:rsidRPr="00E00B4F">
        <w:rPr>
          <w:rFonts w:cs="Times New Roman"/>
          <w:b/>
          <w:sz w:val="22"/>
          <w:szCs w:val="22"/>
        </w:rPr>
        <w:t>5</w:t>
      </w:r>
      <w:r w:rsidRPr="00E00B4F">
        <w:rPr>
          <w:rFonts w:cs="Times New Roman"/>
          <w:b/>
          <w:sz w:val="22"/>
          <w:szCs w:val="22"/>
        </w:rPr>
        <w:t xml:space="preserve"> год – </w:t>
      </w:r>
      <w:r w:rsidR="00E00B4F">
        <w:rPr>
          <w:rFonts w:cs="Times New Roman"/>
          <w:b/>
          <w:sz w:val="22"/>
          <w:szCs w:val="22"/>
        </w:rPr>
        <w:t>1 050,0</w:t>
      </w:r>
      <w:r w:rsidR="00977F38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тыс.</w:t>
      </w:r>
      <w:r w:rsidR="00593716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руб.</w:t>
      </w:r>
    </w:p>
    <w:p w:rsidR="003672E7" w:rsidRPr="00E00B4F" w:rsidRDefault="003672E7" w:rsidP="003672E7">
      <w:pPr>
        <w:jc w:val="both"/>
        <w:rPr>
          <w:rFonts w:cs="Times New Roman"/>
          <w:sz w:val="22"/>
          <w:szCs w:val="22"/>
        </w:rPr>
      </w:pPr>
      <w:r w:rsidRPr="00E00B4F">
        <w:rPr>
          <w:rFonts w:cs="Times New Roman"/>
          <w:sz w:val="22"/>
          <w:szCs w:val="22"/>
        </w:rPr>
        <w:t xml:space="preserve">в том </w:t>
      </w:r>
      <w:r w:rsidR="00E00B4F" w:rsidRPr="00E00B4F">
        <w:rPr>
          <w:rFonts w:cs="Times New Roman"/>
          <w:sz w:val="22"/>
          <w:szCs w:val="22"/>
        </w:rPr>
        <w:t>числе: за</w:t>
      </w:r>
      <w:r w:rsidRPr="00E00B4F">
        <w:rPr>
          <w:rFonts w:cs="Times New Roman"/>
          <w:sz w:val="22"/>
          <w:szCs w:val="22"/>
        </w:rPr>
        <w:t xml:space="preserve"> счет средств бюджета района –</w:t>
      </w:r>
      <w:r w:rsidR="000B2086" w:rsidRPr="00E00B4F">
        <w:rPr>
          <w:rFonts w:cs="Times New Roman"/>
          <w:sz w:val="22"/>
          <w:szCs w:val="22"/>
        </w:rPr>
        <w:t xml:space="preserve"> </w:t>
      </w:r>
      <w:r w:rsidR="00E00B4F">
        <w:rPr>
          <w:rFonts w:cs="Times New Roman"/>
          <w:sz w:val="22"/>
          <w:szCs w:val="22"/>
        </w:rPr>
        <w:t>1 050,0</w:t>
      </w:r>
      <w:r w:rsidRPr="00E00B4F">
        <w:rPr>
          <w:rFonts w:cs="Times New Roman"/>
          <w:sz w:val="22"/>
          <w:szCs w:val="22"/>
        </w:rPr>
        <w:t xml:space="preserve"> тыс.</w:t>
      </w:r>
      <w:r w:rsidR="00593716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>руб.</w:t>
      </w:r>
      <w:r w:rsidR="000B2086" w:rsidRPr="00E00B4F">
        <w:rPr>
          <w:rFonts w:cs="Times New Roman"/>
          <w:sz w:val="22"/>
          <w:szCs w:val="22"/>
        </w:rPr>
        <w:t>;</w:t>
      </w:r>
      <w:r w:rsidRPr="00E00B4F">
        <w:rPr>
          <w:rFonts w:cs="Times New Roman"/>
          <w:sz w:val="22"/>
          <w:szCs w:val="22"/>
        </w:rPr>
        <w:t xml:space="preserve">                     </w:t>
      </w:r>
    </w:p>
    <w:p w:rsidR="003672E7" w:rsidRPr="00E00B4F" w:rsidRDefault="00FA70AD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E00B4F">
        <w:rPr>
          <w:rFonts w:cs="Times New Roman"/>
          <w:b/>
          <w:sz w:val="22"/>
          <w:szCs w:val="22"/>
        </w:rPr>
        <w:t>202</w:t>
      </w:r>
      <w:r w:rsidR="008406A6" w:rsidRPr="00E00B4F">
        <w:rPr>
          <w:rFonts w:cs="Times New Roman"/>
          <w:b/>
          <w:sz w:val="22"/>
          <w:szCs w:val="22"/>
        </w:rPr>
        <w:t>6</w:t>
      </w:r>
      <w:r w:rsidR="003672E7" w:rsidRPr="00E00B4F">
        <w:rPr>
          <w:rFonts w:cs="Times New Roman"/>
          <w:b/>
          <w:sz w:val="22"/>
          <w:szCs w:val="22"/>
        </w:rPr>
        <w:t xml:space="preserve"> </w:t>
      </w:r>
      <w:r w:rsidR="00E00B4F" w:rsidRPr="00E00B4F">
        <w:rPr>
          <w:rFonts w:cs="Times New Roman"/>
          <w:b/>
          <w:sz w:val="22"/>
          <w:szCs w:val="22"/>
        </w:rPr>
        <w:t xml:space="preserve">год </w:t>
      </w:r>
      <w:r w:rsidR="00E00B4F">
        <w:rPr>
          <w:rFonts w:cs="Times New Roman"/>
          <w:b/>
          <w:sz w:val="22"/>
          <w:szCs w:val="22"/>
        </w:rPr>
        <w:t>–</w:t>
      </w:r>
      <w:r w:rsidR="003672E7" w:rsidRPr="00E00B4F">
        <w:rPr>
          <w:rFonts w:cs="Times New Roman"/>
          <w:b/>
          <w:sz w:val="22"/>
          <w:szCs w:val="22"/>
        </w:rPr>
        <w:t xml:space="preserve"> </w:t>
      </w:r>
      <w:r w:rsidR="00E00B4F">
        <w:rPr>
          <w:rFonts w:cs="Times New Roman"/>
          <w:b/>
          <w:sz w:val="22"/>
          <w:szCs w:val="22"/>
        </w:rPr>
        <w:t>1 050,0</w:t>
      </w:r>
      <w:r w:rsidR="003672E7" w:rsidRPr="00E00B4F">
        <w:rPr>
          <w:rFonts w:cs="Times New Roman"/>
          <w:b/>
          <w:sz w:val="22"/>
          <w:szCs w:val="22"/>
        </w:rPr>
        <w:t xml:space="preserve"> тыс.</w:t>
      </w:r>
      <w:r w:rsidR="00593716" w:rsidRPr="00E00B4F">
        <w:rPr>
          <w:rFonts w:cs="Times New Roman"/>
          <w:b/>
          <w:sz w:val="22"/>
          <w:szCs w:val="22"/>
        </w:rPr>
        <w:t xml:space="preserve"> </w:t>
      </w:r>
      <w:r w:rsidR="003672E7" w:rsidRPr="00E00B4F">
        <w:rPr>
          <w:rFonts w:cs="Times New Roman"/>
          <w:b/>
          <w:sz w:val="22"/>
          <w:szCs w:val="22"/>
        </w:rPr>
        <w:t>руб.</w:t>
      </w:r>
    </w:p>
    <w:p w:rsidR="003672E7" w:rsidRPr="00E00B4F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E00B4F">
        <w:rPr>
          <w:rFonts w:cs="Times New Roman"/>
          <w:sz w:val="22"/>
          <w:szCs w:val="22"/>
        </w:rPr>
        <w:t>в том числе:</w:t>
      </w:r>
      <w:r w:rsidR="00977F38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 xml:space="preserve">за счет средств бюджета района – </w:t>
      </w:r>
      <w:r w:rsidR="00E00B4F">
        <w:rPr>
          <w:rFonts w:cs="Times New Roman"/>
          <w:sz w:val="22"/>
          <w:szCs w:val="22"/>
        </w:rPr>
        <w:t>1 050,0</w:t>
      </w:r>
      <w:r w:rsidRPr="00E00B4F">
        <w:rPr>
          <w:rFonts w:cs="Times New Roman"/>
          <w:sz w:val="22"/>
          <w:szCs w:val="22"/>
        </w:rPr>
        <w:t xml:space="preserve"> тыс.</w:t>
      </w:r>
      <w:r w:rsidR="00593716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>руб.;</w:t>
      </w:r>
    </w:p>
    <w:p w:rsidR="003672E7" w:rsidRPr="00E00B4F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E00B4F">
        <w:rPr>
          <w:rFonts w:cs="Times New Roman"/>
          <w:b/>
          <w:sz w:val="22"/>
          <w:szCs w:val="22"/>
        </w:rPr>
        <w:t>202</w:t>
      </w:r>
      <w:r w:rsidR="008406A6" w:rsidRPr="00E00B4F">
        <w:rPr>
          <w:rFonts w:cs="Times New Roman"/>
          <w:b/>
          <w:sz w:val="22"/>
          <w:szCs w:val="22"/>
        </w:rPr>
        <w:t>7</w:t>
      </w:r>
      <w:r w:rsidRPr="00E00B4F">
        <w:rPr>
          <w:rFonts w:cs="Times New Roman"/>
          <w:b/>
          <w:sz w:val="22"/>
          <w:szCs w:val="22"/>
        </w:rPr>
        <w:t xml:space="preserve"> </w:t>
      </w:r>
      <w:r w:rsidR="00E00B4F" w:rsidRPr="00E00B4F">
        <w:rPr>
          <w:rFonts w:cs="Times New Roman"/>
          <w:b/>
          <w:sz w:val="22"/>
          <w:szCs w:val="22"/>
        </w:rPr>
        <w:t>год -</w:t>
      </w:r>
      <w:r w:rsidRPr="00E00B4F">
        <w:rPr>
          <w:rFonts w:cs="Times New Roman"/>
          <w:b/>
          <w:sz w:val="22"/>
          <w:szCs w:val="22"/>
        </w:rPr>
        <w:t xml:space="preserve">  </w:t>
      </w:r>
      <w:r w:rsidR="00E00B4F">
        <w:rPr>
          <w:rFonts w:cs="Times New Roman"/>
          <w:b/>
          <w:sz w:val="22"/>
          <w:szCs w:val="22"/>
        </w:rPr>
        <w:t>1 050,0</w:t>
      </w:r>
      <w:r w:rsidRPr="00E00B4F">
        <w:rPr>
          <w:rFonts w:cs="Times New Roman"/>
          <w:b/>
          <w:sz w:val="22"/>
          <w:szCs w:val="22"/>
        </w:rPr>
        <w:t xml:space="preserve"> тыс.</w:t>
      </w:r>
      <w:r w:rsidR="00593716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руб.</w:t>
      </w:r>
    </w:p>
    <w:p w:rsidR="003672E7" w:rsidRPr="00E00B4F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E00B4F">
        <w:rPr>
          <w:rFonts w:cs="Times New Roman"/>
          <w:sz w:val="22"/>
          <w:szCs w:val="22"/>
        </w:rPr>
        <w:t xml:space="preserve">в том числе: за счет средств бюджета района – </w:t>
      </w:r>
      <w:r w:rsidR="00E00B4F">
        <w:rPr>
          <w:rFonts w:cs="Times New Roman"/>
          <w:sz w:val="22"/>
          <w:szCs w:val="22"/>
        </w:rPr>
        <w:t>1 050,0</w:t>
      </w:r>
      <w:r w:rsidRPr="00E00B4F">
        <w:rPr>
          <w:rFonts w:cs="Times New Roman"/>
          <w:sz w:val="22"/>
          <w:szCs w:val="22"/>
        </w:rPr>
        <w:t xml:space="preserve"> тыс.</w:t>
      </w:r>
      <w:r w:rsidR="00593716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>руб.;</w:t>
      </w:r>
    </w:p>
    <w:p w:rsidR="003672E7" w:rsidRPr="00E00B4F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E00B4F">
        <w:rPr>
          <w:rFonts w:cs="Times New Roman"/>
          <w:b/>
          <w:sz w:val="22"/>
          <w:szCs w:val="22"/>
        </w:rPr>
        <w:t>202</w:t>
      </w:r>
      <w:r w:rsidR="008406A6" w:rsidRPr="00E00B4F">
        <w:rPr>
          <w:rFonts w:cs="Times New Roman"/>
          <w:b/>
          <w:sz w:val="22"/>
          <w:szCs w:val="22"/>
        </w:rPr>
        <w:t>8</w:t>
      </w:r>
      <w:r w:rsidR="005D5F17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 xml:space="preserve">год – </w:t>
      </w:r>
      <w:r w:rsidR="00E00B4F">
        <w:rPr>
          <w:rFonts w:cs="Times New Roman"/>
          <w:b/>
          <w:sz w:val="22"/>
          <w:szCs w:val="22"/>
        </w:rPr>
        <w:t>1 050,0</w:t>
      </w:r>
      <w:r w:rsidRPr="00E00B4F">
        <w:rPr>
          <w:rFonts w:cs="Times New Roman"/>
          <w:b/>
          <w:sz w:val="22"/>
          <w:szCs w:val="22"/>
        </w:rPr>
        <w:t xml:space="preserve"> тыс.</w:t>
      </w:r>
      <w:r w:rsidR="00593716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руб.</w:t>
      </w:r>
    </w:p>
    <w:p w:rsidR="003672E7" w:rsidRPr="00E00B4F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E00B4F">
        <w:rPr>
          <w:rFonts w:cs="Times New Roman"/>
          <w:sz w:val="22"/>
          <w:szCs w:val="22"/>
        </w:rPr>
        <w:t xml:space="preserve">в том </w:t>
      </w:r>
      <w:r w:rsidR="00E00B4F" w:rsidRPr="00E00B4F">
        <w:rPr>
          <w:rFonts w:cs="Times New Roman"/>
          <w:sz w:val="22"/>
          <w:szCs w:val="22"/>
        </w:rPr>
        <w:t>числе: за</w:t>
      </w:r>
      <w:r w:rsidRPr="00E00B4F">
        <w:rPr>
          <w:rFonts w:cs="Times New Roman"/>
          <w:sz w:val="22"/>
          <w:szCs w:val="22"/>
        </w:rPr>
        <w:t xml:space="preserve"> счет средств бюджета района – </w:t>
      </w:r>
      <w:r w:rsidR="00E00B4F">
        <w:rPr>
          <w:rFonts w:cs="Times New Roman"/>
          <w:sz w:val="22"/>
          <w:szCs w:val="22"/>
        </w:rPr>
        <w:t>1 050,0</w:t>
      </w:r>
      <w:r w:rsidR="005D5F17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>тыс.</w:t>
      </w:r>
      <w:r w:rsidR="00593716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>руб.;</w:t>
      </w:r>
    </w:p>
    <w:p w:rsidR="003672E7" w:rsidRPr="00E00B4F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E00B4F">
        <w:rPr>
          <w:rFonts w:cs="Times New Roman"/>
          <w:b/>
          <w:sz w:val="22"/>
          <w:szCs w:val="22"/>
        </w:rPr>
        <w:t>202</w:t>
      </w:r>
      <w:r w:rsidR="008406A6" w:rsidRPr="00E00B4F">
        <w:rPr>
          <w:rFonts w:cs="Times New Roman"/>
          <w:b/>
          <w:sz w:val="22"/>
          <w:szCs w:val="22"/>
        </w:rPr>
        <w:t>9</w:t>
      </w:r>
      <w:r w:rsidRPr="00E00B4F">
        <w:rPr>
          <w:rFonts w:cs="Times New Roman"/>
          <w:b/>
          <w:sz w:val="22"/>
          <w:szCs w:val="22"/>
        </w:rPr>
        <w:t xml:space="preserve"> год </w:t>
      </w:r>
      <w:r w:rsidR="00E00B4F">
        <w:rPr>
          <w:rFonts w:cs="Times New Roman"/>
          <w:b/>
          <w:sz w:val="22"/>
          <w:szCs w:val="22"/>
        </w:rPr>
        <w:t>–</w:t>
      </w:r>
      <w:r w:rsidR="00CC4415" w:rsidRPr="00E00B4F">
        <w:rPr>
          <w:rFonts w:cs="Times New Roman"/>
          <w:b/>
          <w:sz w:val="22"/>
          <w:szCs w:val="22"/>
        </w:rPr>
        <w:t xml:space="preserve"> </w:t>
      </w:r>
      <w:r w:rsidR="00E00B4F">
        <w:rPr>
          <w:rFonts w:cs="Times New Roman"/>
          <w:b/>
          <w:sz w:val="22"/>
          <w:szCs w:val="22"/>
        </w:rPr>
        <w:t>1 050,0</w:t>
      </w:r>
      <w:r w:rsidR="005D5F17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тыс.</w:t>
      </w:r>
      <w:r w:rsidR="00593716" w:rsidRPr="00E00B4F">
        <w:rPr>
          <w:rFonts w:cs="Times New Roman"/>
          <w:b/>
          <w:sz w:val="22"/>
          <w:szCs w:val="22"/>
        </w:rPr>
        <w:t xml:space="preserve"> </w:t>
      </w:r>
      <w:r w:rsidRPr="00E00B4F">
        <w:rPr>
          <w:rFonts w:cs="Times New Roman"/>
          <w:b/>
          <w:sz w:val="22"/>
          <w:szCs w:val="22"/>
        </w:rPr>
        <w:t>руб.</w:t>
      </w:r>
    </w:p>
    <w:p w:rsidR="003672E7" w:rsidRDefault="003672E7" w:rsidP="00CC4415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E00B4F">
        <w:rPr>
          <w:rFonts w:cs="Times New Roman"/>
          <w:sz w:val="22"/>
          <w:szCs w:val="22"/>
        </w:rPr>
        <w:t>в том числе: за счет с</w:t>
      </w:r>
      <w:r w:rsidR="005D5F17" w:rsidRPr="00E00B4F">
        <w:rPr>
          <w:rFonts w:cs="Times New Roman"/>
          <w:sz w:val="22"/>
          <w:szCs w:val="22"/>
        </w:rPr>
        <w:t xml:space="preserve">редств бюджета района – </w:t>
      </w:r>
      <w:r w:rsidR="00E00B4F">
        <w:rPr>
          <w:rFonts w:cs="Times New Roman"/>
          <w:sz w:val="22"/>
          <w:szCs w:val="22"/>
        </w:rPr>
        <w:t>1 050,0</w:t>
      </w:r>
      <w:r w:rsidRPr="00E00B4F">
        <w:rPr>
          <w:rFonts w:cs="Times New Roman"/>
          <w:sz w:val="22"/>
          <w:szCs w:val="22"/>
        </w:rPr>
        <w:t xml:space="preserve"> тыс.</w:t>
      </w:r>
      <w:r w:rsidR="00593716" w:rsidRPr="00E00B4F">
        <w:rPr>
          <w:rFonts w:cs="Times New Roman"/>
          <w:sz w:val="22"/>
          <w:szCs w:val="22"/>
        </w:rPr>
        <w:t xml:space="preserve"> </w:t>
      </w:r>
      <w:r w:rsidRPr="00E00B4F">
        <w:rPr>
          <w:rFonts w:cs="Times New Roman"/>
          <w:sz w:val="22"/>
          <w:szCs w:val="22"/>
        </w:rPr>
        <w:t>руб.</w:t>
      </w: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</w:t>
      </w:r>
      <w:r w:rsidR="004B6832">
        <w:rPr>
          <w:rFonts w:cs="Times New Roman"/>
          <w:sz w:val="22"/>
          <w:szCs w:val="22"/>
        </w:rPr>
        <w:t xml:space="preserve">ресурсов, необходимых для реализации </w:t>
      </w:r>
      <w:r w:rsidR="003672E7" w:rsidRPr="0001560F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</w:t>
      </w:r>
      <w:r w:rsidR="004B6832">
        <w:rPr>
          <w:rFonts w:cs="Times New Roman"/>
          <w:sz w:val="22"/>
          <w:szCs w:val="22"/>
        </w:rPr>
        <w:t>3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C52806" w:rsidRDefault="00C558A0" w:rsidP="00C52806">
      <w:pPr>
        <w:pStyle w:val="a3"/>
        <w:numPr>
          <w:ilvl w:val="0"/>
          <w:numId w:val="5"/>
        </w:numPr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Конечный результат</w:t>
      </w:r>
      <w:r w:rsidR="00581155" w:rsidRPr="00C52806">
        <w:rPr>
          <w:rFonts w:cs="Times New Roman"/>
          <w:b/>
          <w:sz w:val="22"/>
          <w:szCs w:val="22"/>
        </w:rPr>
        <w:t xml:space="preserve"> реализации 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="00581155" w:rsidRPr="00C52806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7E3C86" w:rsidRPr="00F679F0" w:rsidRDefault="007E3C86" w:rsidP="007E3C86">
      <w:pPr>
        <w:pStyle w:val="a3"/>
        <w:ind w:left="0" w:firstLine="709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7E3C86" w:rsidRPr="00F679F0" w:rsidRDefault="007E3C86" w:rsidP="007E3C86">
      <w:pPr>
        <w:rPr>
          <w:sz w:val="22"/>
          <w:szCs w:val="22"/>
        </w:rPr>
      </w:pPr>
      <w:r w:rsidRPr="00F679F0">
        <w:rPr>
          <w:sz w:val="22"/>
          <w:szCs w:val="22"/>
        </w:rPr>
        <w:t xml:space="preserve">- </w:t>
      </w:r>
      <w:r>
        <w:rPr>
          <w:sz w:val="22"/>
          <w:szCs w:val="22"/>
        </w:rPr>
        <w:t>обеспечить эффективную систему безопасности, направленную на предупреждение и предотвращение террористических угроз;</w:t>
      </w:r>
    </w:p>
    <w:p w:rsidR="007E3C86" w:rsidRDefault="007E3C86" w:rsidP="007E3C8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 безопасность жизни и здоровья воспитанников, учащихся и сотрудников ГБОУ;</w:t>
      </w:r>
    </w:p>
    <w:p w:rsidR="007E3C86" w:rsidRDefault="007E3C86" w:rsidP="007E3C8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 недопущение материальных потерь от действий террористической направленности, т.е. сокращение непредвиденных затрат и расходов бюджета для восстановления нанесенного ущерба.</w:t>
      </w:r>
    </w:p>
    <w:p w:rsidR="007E3C86" w:rsidRPr="0035574D" w:rsidRDefault="007E3C86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lastRenderedPageBreak/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t>Таблица 2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C0E46" w:rsidRPr="006405B0" w:rsidTr="007E3C86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C0E46" w:rsidRPr="006405B0" w:rsidTr="007E3C86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C0E46" w:rsidRPr="006405B0" w:rsidTr="007E3C86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C0E46" w:rsidRDefault="00AC0E46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8406A6">
      <w:pPr>
        <w:rPr>
          <w:rFonts w:cs="Times New Roman"/>
          <w:sz w:val="22"/>
          <w:szCs w:val="22"/>
        </w:rPr>
      </w:pPr>
    </w:p>
    <w:p w:rsidR="00923A2B" w:rsidRDefault="00923A2B" w:rsidP="007E3C86">
      <w:pPr>
        <w:jc w:val="right"/>
        <w:rPr>
          <w:rFonts w:cs="Times New Roman"/>
          <w:sz w:val="22"/>
          <w:szCs w:val="22"/>
        </w:rPr>
      </w:pPr>
    </w:p>
    <w:p w:rsidR="00923A2B" w:rsidRDefault="00923A2B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461913" w:rsidRPr="00461913" w:rsidRDefault="00461913" w:rsidP="00461913">
      <w:pPr>
        <w:jc w:val="center"/>
        <w:rPr>
          <w:rFonts w:cs="Times New Roman"/>
          <w:sz w:val="22"/>
          <w:szCs w:val="22"/>
        </w:rPr>
      </w:pPr>
      <w:r w:rsidRPr="00461913">
        <w:rPr>
          <w:rFonts w:cs="Times New Roman"/>
          <w:sz w:val="22"/>
          <w:szCs w:val="22"/>
        </w:rPr>
        <w:t xml:space="preserve">Перечень </w:t>
      </w:r>
      <w:r w:rsidR="002A2BCB" w:rsidRPr="00461913">
        <w:rPr>
          <w:rFonts w:cs="Times New Roman"/>
          <w:sz w:val="22"/>
          <w:szCs w:val="22"/>
        </w:rPr>
        <w:t>стратегических показателей</w:t>
      </w:r>
      <w:r w:rsidRPr="00461913">
        <w:rPr>
          <w:rFonts w:cs="Times New Roman"/>
          <w:sz w:val="22"/>
          <w:szCs w:val="22"/>
        </w:rPr>
        <w:t xml:space="preserve"> муниципальной программы «</w:t>
      </w:r>
      <w:r w:rsidRPr="00461913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2025-2029 годы</w:t>
      </w:r>
      <w:r w:rsidRPr="00461913">
        <w:rPr>
          <w:rFonts w:cs="Times New Roman"/>
          <w:sz w:val="22"/>
          <w:szCs w:val="22"/>
        </w:rPr>
        <w:t xml:space="preserve">»  </w:t>
      </w:r>
    </w:p>
    <w:p w:rsidR="00461913" w:rsidRPr="00461913" w:rsidRDefault="00461913" w:rsidP="00461913">
      <w:pPr>
        <w:jc w:val="center"/>
        <w:rPr>
          <w:rFonts w:cs="Times New Roman"/>
          <w:sz w:val="22"/>
          <w:szCs w:val="22"/>
        </w:rPr>
      </w:pPr>
    </w:p>
    <w:tbl>
      <w:tblPr>
        <w:tblStyle w:val="1"/>
        <w:tblW w:w="10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3"/>
        <w:gridCol w:w="2051"/>
        <w:gridCol w:w="1045"/>
        <w:gridCol w:w="827"/>
        <w:gridCol w:w="850"/>
        <w:gridCol w:w="709"/>
        <w:gridCol w:w="709"/>
        <w:gridCol w:w="708"/>
        <w:gridCol w:w="709"/>
        <w:gridCol w:w="709"/>
        <w:gridCol w:w="1077"/>
      </w:tblGrid>
      <w:tr w:rsidR="00461913" w:rsidRPr="00461913" w:rsidTr="00A42624">
        <w:trPr>
          <w:trHeight w:val="1689"/>
        </w:trPr>
        <w:tc>
          <w:tcPr>
            <w:tcW w:w="643" w:type="dxa"/>
            <w:vMerge w:val="restart"/>
          </w:tcPr>
          <w:p w:rsidR="00461913" w:rsidRPr="00461913" w:rsidRDefault="00461913" w:rsidP="004619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№</w:t>
            </w:r>
          </w:p>
        </w:tc>
        <w:tc>
          <w:tcPr>
            <w:tcW w:w="2051" w:type="dxa"/>
            <w:vMerge w:val="restart"/>
          </w:tcPr>
          <w:p w:rsidR="00461913" w:rsidRPr="00461913" w:rsidRDefault="00461913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045" w:type="dxa"/>
            <w:vMerge w:val="restart"/>
          </w:tcPr>
          <w:p w:rsidR="00461913" w:rsidRPr="00461913" w:rsidRDefault="00461913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 xml:space="preserve">Единица </w:t>
            </w:r>
            <w:proofErr w:type="spellStart"/>
            <w:r w:rsidRPr="00461913">
              <w:rPr>
                <w:rFonts w:cs="Times New Roman"/>
                <w:sz w:val="22"/>
              </w:rPr>
              <w:t>измере-ния</w:t>
            </w:r>
            <w:proofErr w:type="spellEnd"/>
          </w:p>
        </w:tc>
        <w:tc>
          <w:tcPr>
            <w:tcW w:w="5221" w:type="dxa"/>
            <w:gridSpan w:val="7"/>
          </w:tcPr>
          <w:p w:rsidR="00461913" w:rsidRPr="00461913" w:rsidRDefault="00461913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1077" w:type="dxa"/>
            <w:vMerge w:val="restart"/>
            <w:textDirection w:val="btLr"/>
          </w:tcPr>
          <w:p w:rsidR="00461913" w:rsidRPr="00461913" w:rsidRDefault="00461913" w:rsidP="00461913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0"/>
                <w:szCs w:val="20"/>
              </w:rPr>
              <w:t>Итого</w:t>
            </w:r>
            <w:r w:rsidRPr="00461913"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A42624" w:rsidRPr="00461913" w:rsidTr="00C36643">
        <w:trPr>
          <w:trHeight w:val="143"/>
        </w:trPr>
        <w:tc>
          <w:tcPr>
            <w:tcW w:w="643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27" w:type="dxa"/>
            <w:vMerge w:val="restart"/>
          </w:tcPr>
          <w:p w:rsidR="00A42624" w:rsidRPr="00461913" w:rsidRDefault="00C36643" w:rsidP="001C63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Отчет</w:t>
            </w:r>
            <w:r w:rsidR="00A42624">
              <w:rPr>
                <w:rFonts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850" w:type="dxa"/>
            <w:vMerge w:val="restart"/>
          </w:tcPr>
          <w:p w:rsidR="00A42624" w:rsidRPr="00461913" w:rsidRDefault="00A42624" w:rsidP="001C63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Оценка 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gridSpan w:val="5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077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42624" w:rsidRPr="00461913" w:rsidTr="00C36643">
        <w:trPr>
          <w:trHeight w:val="1041"/>
        </w:trPr>
        <w:tc>
          <w:tcPr>
            <w:tcW w:w="643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27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13"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1077" w:type="dxa"/>
            <w:vMerge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61913" w:rsidRPr="00461913" w:rsidTr="002A2BCB">
        <w:trPr>
          <w:trHeight w:val="1249"/>
        </w:trPr>
        <w:tc>
          <w:tcPr>
            <w:tcW w:w="10037" w:type="dxa"/>
            <w:gridSpan w:val="11"/>
          </w:tcPr>
          <w:p w:rsidR="00461913" w:rsidRPr="00461913" w:rsidRDefault="00461913" w:rsidP="00461913">
            <w:pPr>
              <w:jc w:val="center"/>
              <w:rPr>
                <w:rFonts w:cs="Times New Roman"/>
                <w:b/>
                <w:sz w:val="22"/>
              </w:rPr>
            </w:pPr>
            <w:r w:rsidRPr="00461913">
              <w:rPr>
                <w:b/>
                <w:sz w:val="22"/>
              </w:rPr>
              <w:t>Цель - Обеспечение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противоэктремистской направленности</w:t>
            </w:r>
          </w:p>
        </w:tc>
      </w:tr>
      <w:tr w:rsidR="00461913" w:rsidRPr="00461913" w:rsidTr="002A2BCB">
        <w:trPr>
          <w:trHeight w:val="491"/>
        </w:trPr>
        <w:tc>
          <w:tcPr>
            <w:tcW w:w="643" w:type="dxa"/>
          </w:tcPr>
          <w:p w:rsidR="00461913" w:rsidRPr="00461913" w:rsidRDefault="00461913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</w:t>
            </w:r>
          </w:p>
        </w:tc>
        <w:tc>
          <w:tcPr>
            <w:tcW w:w="9394" w:type="dxa"/>
            <w:gridSpan w:val="10"/>
          </w:tcPr>
          <w:p w:rsidR="00461913" w:rsidRPr="00461913" w:rsidRDefault="00461913" w:rsidP="00461913">
            <w:pPr>
              <w:jc w:val="center"/>
              <w:rPr>
                <w:sz w:val="22"/>
              </w:rPr>
            </w:pPr>
            <w:r w:rsidRPr="00461913">
              <w:rPr>
                <w:sz w:val="22"/>
              </w:rPr>
              <w:t xml:space="preserve">Задача - </w:t>
            </w:r>
            <w:r w:rsidRPr="00461913">
              <w:rPr>
                <w:rFonts w:cs="Times New Roman"/>
                <w:sz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A42624" w:rsidRPr="00461913" w:rsidTr="00C36643">
        <w:trPr>
          <w:trHeight w:val="1501"/>
        </w:trPr>
        <w:tc>
          <w:tcPr>
            <w:tcW w:w="643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1.1</w:t>
            </w:r>
          </w:p>
        </w:tc>
        <w:tc>
          <w:tcPr>
            <w:tcW w:w="2051" w:type="dxa"/>
          </w:tcPr>
          <w:p w:rsidR="00A42624" w:rsidRPr="00461913" w:rsidRDefault="00A42624" w:rsidP="00461913">
            <w:pPr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1045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827" w:type="dxa"/>
          </w:tcPr>
          <w:p w:rsidR="00A42624" w:rsidRPr="00461913" w:rsidRDefault="00A42624" w:rsidP="00A4262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850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8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1077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461913"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</w:tr>
      <w:tr w:rsidR="00A42624" w:rsidRPr="00461913" w:rsidTr="00C36643">
        <w:trPr>
          <w:trHeight w:val="996"/>
        </w:trPr>
        <w:tc>
          <w:tcPr>
            <w:tcW w:w="643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1.2</w:t>
            </w:r>
          </w:p>
        </w:tc>
        <w:tc>
          <w:tcPr>
            <w:tcW w:w="2051" w:type="dxa"/>
          </w:tcPr>
          <w:p w:rsidR="00A42624" w:rsidRPr="00461913" w:rsidRDefault="00A42624" w:rsidP="00461913">
            <w:pPr>
              <w:spacing w:before="100" w:beforeAutospacing="1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 xml:space="preserve">Количество обслуживаемых камер системы видеонаблюдения </w:t>
            </w:r>
          </w:p>
        </w:tc>
        <w:tc>
          <w:tcPr>
            <w:tcW w:w="1045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Шт.</w:t>
            </w:r>
          </w:p>
        </w:tc>
        <w:tc>
          <w:tcPr>
            <w:tcW w:w="827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</w:tc>
        <w:tc>
          <w:tcPr>
            <w:tcW w:w="850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</w:tc>
        <w:tc>
          <w:tcPr>
            <w:tcW w:w="708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</w:tc>
        <w:tc>
          <w:tcPr>
            <w:tcW w:w="1077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154</w:t>
            </w:r>
          </w:p>
        </w:tc>
      </w:tr>
      <w:tr w:rsidR="00A42624" w:rsidRPr="00461913" w:rsidTr="00C36643">
        <w:trPr>
          <w:trHeight w:val="491"/>
        </w:trPr>
        <w:tc>
          <w:tcPr>
            <w:tcW w:w="643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1.3</w:t>
            </w:r>
          </w:p>
        </w:tc>
        <w:tc>
          <w:tcPr>
            <w:tcW w:w="2051" w:type="dxa"/>
          </w:tcPr>
          <w:p w:rsidR="00A42624" w:rsidRPr="00461913" w:rsidRDefault="00A42624" w:rsidP="00461913">
            <w:pPr>
              <w:spacing w:before="100" w:beforeAutospacing="1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Техническое обслуживание стационарной кнопки передачи тревожного извещения</w:t>
            </w:r>
          </w:p>
        </w:tc>
        <w:tc>
          <w:tcPr>
            <w:tcW w:w="1045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Шт.</w:t>
            </w:r>
          </w:p>
        </w:tc>
        <w:tc>
          <w:tcPr>
            <w:tcW w:w="827" w:type="dxa"/>
          </w:tcPr>
          <w:p w:rsidR="00A42624" w:rsidRPr="00461913" w:rsidRDefault="00723FDB" w:rsidP="00A4262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0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37</w:t>
            </w:r>
          </w:p>
        </w:tc>
        <w:tc>
          <w:tcPr>
            <w:tcW w:w="708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37</w:t>
            </w:r>
          </w:p>
        </w:tc>
        <w:tc>
          <w:tcPr>
            <w:tcW w:w="709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37</w:t>
            </w:r>
          </w:p>
        </w:tc>
        <w:tc>
          <w:tcPr>
            <w:tcW w:w="1077" w:type="dxa"/>
          </w:tcPr>
          <w:p w:rsidR="00A42624" w:rsidRPr="00461913" w:rsidRDefault="00A42624" w:rsidP="00461913">
            <w:pPr>
              <w:jc w:val="center"/>
              <w:rPr>
                <w:rFonts w:cs="Times New Roman"/>
                <w:sz w:val="22"/>
              </w:rPr>
            </w:pPr>
            <w:r w:rsidRPr="00461913">
              <w:rPr>
                <w:rFonts w:cs="Times New Roman"/>
                <w:sz w:val="22"/>
              </w:rPr>
              <w:t>37</w:t>
            </w:r>
          </w:p>
        </w:tc>
      </w:tr>
    </w:tbl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Pr="0001560F" w:rsidRDefault="00AE3CF0" w:rsidP="007E3C86">
      <w:pPr>
        <w:jc w:val="center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461913" w:rsidRDefault="00461913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2 </w:t>
      </w: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План мероприятий по выполнению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 w:rsidR="008406A6">
        <w:rPr>
          <w:rFonts w:cs="Times New Roman"/>
          <w:sz w:val="24"/>
        </w:rPr>
        <w:t>5</w:t>
      </w:r>
      <w:r w:rsidR="00CC1348">
        <w:rPr>
          <w:rFonts w:cs="Times New Roman"/>
          <w:sz w:val="24"/>
        </w:rPr>
        <w:t>-202</w:t>
      </w:r>
      <w:r w:rsidR="008406A6">
        <w:rPr>
          <w:rFonts w:cs="Times New Roman"/>
          <w:sz w:val="24"/>
        </w:rPr>
        <w:t>9</w:t>
      </w:r>
      <w:r w:rsidR="00CC1348">
        <w:rPr>
          <w:rFonts w:cs="Times New Roman"/>
          <w:sz w:val="24"/>
        </w:rPr>
        <w:t xml:space="preserve">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7E3C86" w:rsidTr="007E3C86">
        <w:trPr>
          <w:trHeight w:val="1003"/>
        </w:trPr>
        <w:tc>
          <w:tcPr>
            <w:tcW w:w="668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п/п</w:t>
            </w:r>
          </w:p>
        </w:tc>
        <w:tc>
          <w:tcPr>
            <w:tcW w:w="3119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7E3C86" w:rsidRPr="00FD0FDB" w:rsidRDefault="007E3C86" w:rsidP="007E3C86">
            <w:pPr>
              <w:jc w:val="center"/>
              <w:rPr>
                <w:rFonts w:cs="Times New Roman"/>
                <w:sz w:val="24"/>
              </w:rPr>
            </w:pPr>
            <w:r w:rsidRPr="00FD0FDB">
              <w:rPr>
                <w:rFonts w:cs="Times New Roman"/>
                <w:sz w:val="24"/>
              </w:rPr>
              <w:t>Непосредственный результат</w:t>
            </w:r>
          </w:p>
        </w:tc>
      </w:tr>
      <w:tr w:rsidR="007E3C86" w:rsidTr="007E3C86">
        <w:trPr>
          <w:trHeight w:val="2259"/>
        </w:trPr>
        <w:tc>
          <w:tcPr>
            <w:tcW w:w="668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7E3C86" w:rsidRDefault="007E3C86" w:rsidP="00AE3CF0">
            <w:pPr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</w:t>
            </w:r>
            <w:r w:rsidR="00CC1348">
              <w:rPr>
                <w:sz w:val="22"/>
              </w:rPr>
              <w:t>террористических актов на объектах (территориях) ГБОУ</w:t>
            </w:r>
            <w:r w:rsidRPr="002E4A99">
              <w:rPr>
                <w:sz w:val="22"/>
              </w:rPr>
              <w:t xml:space="preserve">, </w:t>
            </w:r>
            <w:r w:rsidR="00CC1348">
              <w:rPr>
                <w:sz w:val="22"/>
              </w:rPr>
              <w:t>повышение уровня антитеррористической защищенности</w:t>
            </w:r>
            <w:r w:rsidRPr="002E4A99">
              <w:rPr>
                <w:sz w:val="22"/>
              </w:rPr>
              <w:t xml:space="preserve"> зданий и сооружений, недопущения </w:t>
            </w:r>
            <w:r w:rsidR="00CC1348">
              <w:rPr>
                <w:sz w:val="22"/>
              </w:rPr>
              <w:t>террористических актов</w:t>
            </w:r>
            <w:r>
              <w:rPr>
                <w:sz w:val="22"/>
              </w:rPr>
              <w:t xml:space="preserve"> </w:t>
            </w:r>
            <w:r w:rsidRPr="002E4A99">
              <w:rPr>
                <w:sz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  <w:tc>
          <w:tcPr>
            <w:tcW w:w="1708" w:type="dxa"/>
            <w:vAlign w:val="center"/>
          </w:tcPr>
          <w:p w:rsidR="007E3C86" w:rsidRDefault="008406A6" w:rsidP="008406A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CC1348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5</w:t>
            </w:r>
            <w:r w:rsidR="007E3C86">
              <w:rPr>
                <w:rFonts w:cs="Times New Roman"/>
                <w:sz w:val="22"/>
              </w:rPr>
              <w:t>-202</w:t>
            </w:r>
            <w:r>
              <w:rPr>
                <w:rFonts w:cs="Times New Roman"/>
                <w:sz w:val="22"/>
              </w:rPr>
              <w:t>9</w:t>
            </w:r>
            <w:r w:rsidR="007E3C86">
              <w:rPr>
                <w:rFonts w:cs="Times New Roman"/>
                <w:sz w:val="22"/>
              </w:rPr>
              <w:t xml:space="preserve"> </w:t>
            </w:r>
            <w:proofErr w:type="spellStart"/>
            <w:r w:rsidR="007E3C86">
              <w:rPr>
                <w:rFonts w:cs="Times New Roman"/>
                <w:sz w:val="22"/>
              </w:rPr>
              <w:t>г.г</w:t>
            </w:r>
            <w:proofErr w:type="spellEnd"/>
            <w:r w:rsidR="007E3C86">
              <w:rPr>
                <w:rFonts w:cs="Times New Roman"/>
                <w:sz w:val="22"/>
              </w:rPr>
              <w:t>.</w:t>
            </w:r>
          </w:p>
        </w:tc>
        <w:tc>
          <w:tcPr>
            <w:tcW w:w="4106" w:type="dxa"/>
            <w:vAlign w:val="center"/>
          </w:tcPr>
          <w:p w:rsidR="007E3C86" w:rsidRPr="00AC0E42" w:rsidRDefault="007E3C86" w:rsidP="007E3C86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</w:rPr>
              <w:t>беспечение безопасности обучающихся</w:t>
            </w:r>
            <w:r w:rsidR="00CC1348">
              <w:rPr>
                <w:rFonts w:cs="Times New Roman"/>
                <w:bCs w:val="0"/>
                <w:sz w:val="22"/>
              </w:rPr>
              <w:t xml:space="preserve">, </w:t>
            </w:r>
            <w:r w:rsidRPr="00AC0E42">
              <w:rPr>
                <w:rFonts w:cs="Times New Roman"/>
                <w:bCs w:val="0"/>
                <w:sz w:val="22"/>
              </w:rPr>
              <w:t>воспитанников</w:t>
            </w:r>
            <w:r w:rsidR="00CC1348">
              <w:rPr>
                <w:rFonts w:cs="Times New Roman"/>
                <w:bCs w:val="0"/>
                <w:sz w:val="22"/>
              </w:rPr>
              <w:t xml:space="preserve"> и сотрудников</w:t>
            </w:r>
            <w:r w:rsidRPr="00AC0E42">
              <w:rPr>
                <w:rFonts w:cs="Times New Roman"/>
                <w:bCs w:val="0"/>
                <w:sz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</w:rPr>
              <w:t xml:space="preserve"> учреждений;                    </w:t>
            </w:r>
          </w:p>
          <w:p w:rsidR="007E3C86" w:rsidRPr="00AF1A2D" w:rsidRDefault="007E3C86" w:rsidP="007E3C86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</w:rPr>
              <w:t xml:space="preserve">Создание необходимых условий для своевременного </w:t>
            </w:r>
            <w:r w:rsidR="00CC1348">
              <w:rPr>
                <w:rFonts w:cs="Times New Roman"/>
                <w:sz w:val="22"/>
              </w:rPr>
              <w:t>террористического акта</w:t>
            </w:r>
            <w:r w:rsidRPr="00AF1A2D">
              <w:rPr>
                <w:rFonts w:cs="Times New Roman"/>
                <w:sz w:val="22"/>
              </w:rPr>
              <w:t xml:space="preserve"> и успешной эвакуации людей при </w:t>
            </w:r>
            <w:r w:rsidR="00CC1348">
              <w:rPr>
                <w:rFonts w:cs="Times New Roman"/>
                <w:sz w:val="22"/>
              </w:rPr>
              <w:t>угрозах антитеррористических актов</w:t>
            </w:r>
            <w:r w:rsidRPr="00AF1A2D">
              <w:rPr>
                <w:rFonts w:cs="Times New Roman"/>
                <w:sz w:val="22"/>
              </w:rPr>
              <w:t>;</w:t>
            </w:r>
          </w:p>
          <w:p w:rsidR="007E3C86" w:rsidRPr="00AC0E42" w:rsidRDefault="007E3C86" w:rsidP="007E3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П</w:t>
            </w:r>
            <w:r w:rsidRPr="00AC0E42">
              <w:rPr>
                <w:rFonts w:cs="Times New Roman"/>
                <w:bCs w:val="0"/>
                <w:sz w:val="22"/>
              </w:rPr>
              <w:t xml:space="preserve">овышение эффективности </w:t>
            </w:r>
            <w:r w:rsidR="00CC1348">
              <w:rPr>
                <w:rFonts w:cs="Times New Roman"/>
                <w:bCs w:val="0"/>
                <w:sz w:val="22"/>
              </w:rPr>
              <w:t>антитеррористической</w:t>
            </w:r>
            <w:r w:rsidRPr="00AF1A2D">
              <w:rPr>
                <w:rFonts w:cs="Times New Roman"/>
                <w:bCs w:val="0"/>
                <w:sz w:val="22"/>
              </w:rPr>
              <w:t xml:space="preserve"> з</w:t>
            </w:r>
            <w:r w:rsidRPr="00AC0E42">
              <w:rPr>
                <w:rFonts w:cs="Times New Roman"/>
                <w:bCs w:val="0"/>
                <w:sz w:val="22"/>
              </w:rPr>
              <w:t>ащи</w:t>
            </w:r>
            <w:r w:rsidR="00CC1348">
              <w:rPr>
                <w:rFonts w:cs="Times New Roman"/>
                <w:bCs w:val="0"/>
                <w:sz w:val="22"/>
              </w:rPr>
              <w:t>щенности</w:t>
            </w:r>
            <w:r w:rsidRPr="00AC0E42">
              <w:rPr>
                <w:rFonts w:cs="Times New Roman"/>
                <w:bCs w:val="0"/>
                <w:sz w:val="22"/>
              </w:rPr>
              <w:t xml:space="preserve"> з</w:t>
            </w:r>
            <w:r w:rsidRPr="00AF1A2D">
              <w:rPr>
                <w:rFonts w:cs="Times New Roman"/>
                <w:bCs w:val="0"/>
                <w:sz w:val="22"/>
              </w:rPr>
              <w:t xml:space="preserve">даний и помещений </w:t>
            </w:r>
            <w:r>
              <w:rPr>
                <w:rFonts w:cs="Times New Roman"/>
                <w:bCs w:val="0"/>
                <w:sz w:val="22"/>
              </w:rPr>
              <w:t>обще</w:t>
            </w:r>
            <w:r w:rsidRPr="00AC0E42">
              <w:rPr>
                <w:rFonts w:cs="Times New Roman"/>
                <w:bCs w:val="0"/>
                <w:sz w:val="22"/>
              </w:rPr>
              <w:t xml:space="preserve">образовательных учреждений;  </w:t>
            </w:r>
          </w:p>
          <w:p w:rsidR="007E3C86" w:rsidRPr="00FD0FDB" w:rsidRDefault="007E3C86" w:rsidP="00CC13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AF1A2D">
              <w:rPr>
                <w:rFonts w:cs="Times New Roman"/>
                <w:sz w:val="22"/>
              </w:rPr>
              <w:t xml:space="preserve">Приведение </w:t>
            </w:r>
            <w:r w:rsidR="00CC1348">
              <w:rPr>
                <w:rFonts w:cs="Times New Roman"/>
                <w:sz w:val="22"/>
              </w:rPr>
              <w:t xml:space="preserve">к антитеррористической безопасности </w:t>
            </w:r>
            <w:r w:rsidRPr="00AF1A2D">
              <w:rPr>
                <w:rFonts w:cs="Times New Roman"/>
                <w:sz w:val="22"/>
              </w:rPr>
              <w:t>состояния</w:t>
            </w:r>
            <w:r w:rsidR="00CC1348">
              <w:rPr>
                <w:rFonts w:cs="Times New Roman"/>
                <w:sz w:val="22"/>
              </w:rPr>
              <w:t xml:space="preserve"> объектов (территорий)</w:t>
            </w:r>
            <w:r w:rsidRPr="00AF1A2D">
              <w:rPr>
                <w:rFonts w:cs="Times New Roman"/>
                <w:sz w:val="22"/>
              </w:rPr>
              <w:t xml:space="preserve"> общеобразовательных учреждений в соответствие с требованиями </w:t>
            </w:r>
            <w:r w:rsidR="00CC1348">
              <w:rPr>
                <w:rFonts w:cs="Times New Roman"/>
                <w:sz w:val="22"/>
              </w:rPr>
              <w:t>Постановления Правительства Российской Федерации от 02.08.2009 г. № 1006</w:t>
            </w:r>
          </w:p>
        </w:tc>
      </w:tr>
    </w:tbl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8406A6" w:rsidRDefault="008406A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2A2BCB" w:rsidRDefault="002A2BCB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 w:rsidR="008406A6">
        <w:rPr>
          <w:rFonts w:cs="Times New Roman"/>
          <w:sz w:val="24"/>
        </w:rPr>
        <w:t>5</w:t>
      </w:r>
      <w:r w:rsidR="00CC1348">
        <w:rPr>
          <w:rFonts w:cs="Times New Roman"/>
          <w:sz w:val="24"/>
        </w:rPr>
        <w:t>-202</w:t>
      </w:r>
      <w:r w:rsidR="008406A6">
        <w:rPr>
          <w:rFonts w:cs="Times New Roman"/>
          <w:sz w:val="24"/>
        </w:rPr>
        <w:t>9</w:t>
      </w:r>
      <w:r w:rsidR="00CC1348">
        <w:rPr>
          <w:rFonts w:cs="Times New Roman"/>
          <w:sz w:val="24"/>
        </w:rPr>
        <w:t xml:space="preserve">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6"/>
        <w:gridCol w:w="1199"/>
        <w:gridCol w:w="1199"/>
        <w:gridCol w:w="1160"/>
        <w:gridCol w:w="1199"/>
        <w:gridCol w:w="1199"/>
        <w:gridCol w:w="1054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spellStart"/>
            <w:r>
              <w:rPr>
                <w:rFonts w:cs="Times New Roman"/>
                <w:sz w:val="22"/>
              </w:rPr>
              <w:t>п.п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8406A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8406A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6</w:t>
            </w:r>
          </w:p>
        </w:tc>
        <w:tc>
          <w:tcPr>
            <w:tcW w:w="1193" w:type="dxa"/>
          </w:tcPr>
          <w:p w:rsidR="007E3C86" w:rsidRDefault="007E3C86" w:rsidP="008406A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7</w:t>
            </w:r>
          </w:p>
        </w:tc>
        <w:tc>
          <w:tcPr>
            <w:tcW w:w="1236" w:type="dxa"/>
          </w:tcPr>
          <w:p w:rsidR="007E3C86" w:rsidRDefault="007E3C86" w:rsidP="008406A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8</w:t>
            </w:r>
          </w:p>
        </w:tc>
        <w:tc>
          <w:tcPr>
            <w:tcW w:w="1236" w:type="dxa"/>
          </w:tcPr>
          <w:p w:rsidR="007E3C86" w:rsidRDefault="007E3C86" w:rsidP="008406A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406A6">
              <w:rPr>
                <w:rFonts w:cs="Times New Roman"/>
                <w:sz w:val="22"/>
              </w:rPr>
              <w:t>9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7E3C86" w:rsidRPr="00E00B4F" w:rsidRDefault="00E00B4F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236" w:type="dxa"/>
          </w:tcPr>
          <w:p w:rsidR="007E3C86" w:rsidRPr="00E00B4F" w:rsidRDefault="00E00B4F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193" w:type="dxa"/>
          </w:tcPr>
          <w:p w:rsidR="007E3C86" w:rsidRPr="00E00B4F" w:rsidRDefault="00E00B4F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236" w:type="dxa"/>
          </w:tcPr>
          <w:p w:rsidR="007E3C86" w:rsidRPr="00E00B4F" w:rsidRDefault="00E00B4F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236" w:type="dxa"/>
          </w:tcPr>
          <w:p w:rsidR="007E3C86" w:rsidRPr="00E00B4F" w:rsidRDefault="00E00B4F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066" w:type="dxa"/>
          </w:tcPr>
          <w:p w:rsidR="007E3C86" w:rsidRPr="00E00B4F" w:rsidRDefault="00E00B4F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5 250,0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Pr="00E00B4F" w:rsidRDefault="00E00B4F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236" w:type="dxa"/>
          </w:tcPr>
          <w:p w:rsidR="00CC4415" w:rsidRPr="00E00B4F" w:rsidRDefault="00E00B4F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193" w:type="dxa"/>
          </w:tcPr>
          <w:p w:rsidR="00CC4415" w:rsidRPr="00E00B4F" w:rsidRDefault="00E00B4F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236" w:type="dxa"/>
          </w:tcPr>
          <w:p w:rsidR="00CC4415" w:rsidRPr="00E00B4F" w:rsidRDefault="00E00B4F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236" w:type="dxa"/>
          </w:tcPr>
          <w:p w:rsidR="00CC4415" w:rsidRPr="00E00B4F" w:rsidRDefault="00E00B4F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1 050,0</w:t>
            </w:r>
          </w:p>
        </w:tc>
        <w:tc>
          <w:tcPr>
            <w:tcW w:w="1066" w:type="dxa"/>
          </w:tcPr>
          <w:p w:rsidR="00CC4415" w:rsidRPr="00E00B4F" w:rsidRDefault="00E00B4F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5 250,0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Pr="00E00B4F" w:rsidRDefault="007E3C86" w:rsidP="007E3C86">
            <w:pPr>
              <w:jc w:val="center"/>
              <w:rPr>
                <w:rFonts w:cs="Times New Roman"/>
                <w:sz w:val="22"/>
              </w:rPr>
            </w:pPr>
            <w:r w:rsidRPr="00E00B4F"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7E3C86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7E3C86" w:rsidRDefault="007E3C86" w:rsidP="00CC441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2A2BCB" w:rsidRPr="002A2BCB" w:rsidRDefault="002A2BCB" w:rsidP="002A2BCB">
      <w:pPr>
        <w:jc w:val="center"/>
        <w:rPr>
          <w:rFonts w:cs="Times New Roman"/>
          <w:sz w:val="22"/>
          <w:szCs w:val="22"/>
        </w:rPr>
      </w:pPr>
    </w:p>
    <w:p w:rsidR="002A2BCB" w:rsidRPr="002A2BCB" w:rsidRDefault="002A2BCB" w:rsidP="002A2BCB">
      <w:pPr>
        <w:jc w:val="center"/>
        <w:rPr>
          <w:rFonts w:cs="Times New Roman"/>
          <w:sz w:val="22"/>
          <w:szCs w:val="22"/>
        </w:rPr>
      </w:pPr>
      <w:r w:rsidRPr="002A2BCB">
        <w:rPr>
          <w:rFonts w:cs="Times New Roman"/>
          <w:sz w:val="22"/>
          <w:szCs w:val="22"/>
        </w:rPr>
        <w:t>План по устранению нарушений согласно стратегических целевых показателей муниципальной программы «</w:t>
      </w:r>
      <w:r w:rsidRPr="002A2BCB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2025-2029годы</w:t>
      </w:r>
      <w:r w:rsidRPr="002A2BCB">
        <w:rPr>
          <w:rFonts w:cs="Times New Roman"/>
          <w:sz w:val="22"/>
          <w:szCs w:val="22"/>
        </w:rPr>
        <w:t xml:space="preserve">»    </w:t>
      </w:r>
    </w:p>
    <w:tbl>
      <w:tblPr>
        <w:tblStyle w:val="2"/>
        <w:tblW w:w="15417" w:type="dxa"/>
        <w:tblLook w:val="04A0" w:firstRow="1" w:lastRow="0" w:firstColumn="1" w:lastColumn="0" w:noHBand="0" w:noVBand="1"/>
      </w:tblPr>
      <w:tblGrid>
        <w:gridCol w:w="510"/>
        <w:gridCol w:w="2020"/>
        <w:gridCol w:w="1262"/>
        <w:gridCol w:w="2325"/>
        <w:gridCol w:w="2325"/>
        <w:gridCol w:w="2325"/>
        <w:gridCol w:w="2325"/>
        <w:gridCol w:w="2325"/>
      </w:tblGrid>
      <w:tr w:rsidR="002A2BCB" w:rsidRPr="002A2BCB" w:rsidTr="002A2BCB">
        <w:tc>
          <w:tcPr>
            <w:tcW w:w="510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№</w:t>
            </w:r>
          </w:p>
        </w:tc>
        <w:tc>
          <w:tcPr>
            <w:tcW w:w="2020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262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2025 год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2026 год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2027 год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2028 год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2029 год</w:t>
            </w:r>
          </w:p>
        </w:tc>
      </w:tr>
      <w:tr w:rsidR="002A2BCB" w:rsidRPr="002A2BCB" w:rsidTr="002A2BCB">
        <w:tc>
          <w:tcPr>
            <w:tcW w:w="510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1.1</w:t>
            </w:r>
          </w:p>
        </w:tc>
        <w:tc>
          <w:tcPr>
            <w:tcW w:w="2020" w:type="dxa"/>
          </w:tcPr>
          <w:p w:rsidR="002A2BCB" w:rsidRPr="002A2BCB" w:rsidRDefault="002A2BCB" w:rsidP="002A2BCB">
            <w:pPr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262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самоуправления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самоуправления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самоуправления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самоуправления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самоуправления</w:t>
            </w:r>
          </w:p>
        </w:tc>
      </w:tr>
      <w:tr w:rsidR="002A2BCB" w:rsidRPr="002A2BCB" w:rsidTr="002A2BCB">
        <w:tc>
          <w:tcPr>
            <w:tcW w:w="510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1.2</w:t>
            </w:r>
          </w:p>
        </w:tc>
        <w:tc>
          <w:tcPr>
            <w:tcW w:w="2020" w:type="dxa"/>
          </w:tcPr>
          <w:p w:rsidR="002A2BCB" w:rsidRPr="002A2BCB" w:rsidRDefault="002A2BCB" w:rsidP="002A2BCB">
            <w:pPr>
              <w:spacing w:before="100" w:beforeAutospacing="1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262" w:type="dxa"/>
          </w:tcPr>
          <w:p w:rsidR="002A2BCB" w:rsidRPr="002A2BCB" w:rsidRDefault="002A2BCB" w:rsidP="002A2BCB">
            <w:pPr>
              <w:jc w:val="center"/>
            </w:pPr>
            <w:r w:rsidRPr="002A2BC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A2BCB" w:rsidRPr="002A2BCB" w:rsidRDefault="002A2BCB" w:rsidP="002A2BCB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 xml:space="preserve">Савруха (ФОК)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10 шт. 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A2BCB" w:rsidRPr="002A2BCB" w:rsidRDefault="002A2BCB" w:rsidP="002A2BCB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 xml:space="preserve">Савруха (ФОК)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A2BCB" w:rsidRPr="002A2BCB" w:rsidRDefault="002A2BCB" w:rsidP="002A2BCB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 xml:space="preserve">Савруха (ФОК)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A2BCB" w:rsidRPr="002A2BCB" w:rsidRDefault="002A2BCB" w:rsidP="002A2BCB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 xml:space="preserve">Савруха (ФОК)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A2BCB" w:rsidRPr="002A2BCB" w:rsidRDefault="002A2BCB" w:rsidP="002A2BCB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Подбельск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lastRenderedPageBreak/>
              <w:t xml:space="preserve">Савруха (ФОК)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A2BCB" w:rsidRPr="002A2BCB" w:rsidRDefault="002A2BCB" w:rsidP="002A2BCB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2A2BCB"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 w:rsidRPr="002A2BCB"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 w:rsidRPr="002A2BCB"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A2BCB" w:rsidRPr="002A2BCB" w:rsidRDefault="002A2BCB" w:rsidP="002A2BCB">
            <w:pPr>
              <w:jc w:val="center"/>
              <w:rPr>
                <w:color w:val="000000" w:themeColor="text1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</w:tr>
      <w:tr w:rsidR="002A2BCB" w:rsidRPr="002A2BCB" w:rsidTr="002A2BCB">
        <w:tc>
          <w:tcPr>
            <w:tcW w:w="510" w:type="dxa"/>
          </w:tcPr>
          <w:p w:rsidR="002A2BCB" w:rsidRP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lastRenderedPageBreak/>
              <w:t>1.3</w:t>
            </w:r>
          </w:p>
        </w:tc>
        <w:tc>
          <w:tcPr>
            <w:tcW w:w="2020" w:type="dxa"/>
          </w:tcPr>
          <w:p w:rsidR="002A2BCB" w:rsidRPr="002A2BCB" w:rsidRDefault="002A2BCB" w:rsidP="002A2BCB">
            <w:pPr>
              <w:spacing w:before="100" w:beforeAutospacing="1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Техническое обслуживание стационарной кнопки передачи тревожного извещения</w:t>
            </w:r>
          </w:p>
        </w:tc>
        <w:tc>
          <w:tcPr>
            <w:tcW w:w="1262" w:type="dxa"/>
          </w:tcPr>
          <w:p w:rsidR="002A2BCB" w:rsidRPr="002A2BCB" w:rsidRDefault="002A2BCB" w:rsidP="002A2BCB">
            <w:pPr>
              <w:jc w:val="center"/>
              <w:rPr>
                <w:sz w:val="22"/>
              </w:rPr>
            </w:pPr>
            <w:r w:rsidRPr="002A2BCB">
              <w:rPr>
                <w:sz w:val="22"/>
              </w:rPr>
              <w:t>Объекты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325" w:type="dxa"/>
          </w:tcPr>
          <w:p w:rsidR="002A2BCB" w:rsidRPr="002A2BCB" w:rsidRDefault="002A2BCB" w:rsidP="002A2BCB">
            <w:pPr>
              <w:jc w:val="center"/>
              <w:rPr>
                <w:color w:val="000000" w:themeColor="text1"/>
                <w:sz w:val="22"/>
              </w:rPr>
            </w:pPr>
            <w:r w:rsidRPr="002A2BCB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</w:tbl>
    <w:p w:rsidR="002A2BCB" w:rsidRPr="002A2BCB" w:rsidRDefault="002A2BCB" w:rsidP="002A2BCB">
      <w:pPr>
        <w:rPr>
          <w:sz w:val="24"/>
        </w:rPr>
      </w:pPr>
    </w:p>
    <w:p w:rsidR="002A2BCB" w:rsidRPr="002A2BCB" w:rsidRDefault="002A2BCB" w:rsidP="002A2BCB">
      <w:pPr>
        <w:jc w:val="right"/>
        <w:rPr>
          <w:sz w:val="24"/>
        </w:rPr>
      </w:pPr>
    </w:p>
    <w:p w:rsidR="002A2BCB" w:rsidRPr="002A2BCB" w:rsidRDefault="002A2BCB" w:rsidP="002A2BCB">
      <w:pPr>
        <w:jc w:val="right"/>
        <w:rPr>
          <w:sz w:val="24"/>
        </w:rPr>
      </w:pPr>
    </w:p>
    <w:p w:rsidR="002A2BCB" w:rsidRPr="002A2BCB" w:rsidRDefault="002A2BCB" w:rsidP="002A2BCB">
      <w:pPr>
        <w:jc w:val="right"/>
        <w:rPr>
          <w:sz w:val="24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2A2BCB" w:rsidRDefault="002A2BCB" w:rsidP="007E3C86">
      <w:pPr>
        <w:jc w:val="right"/>
        <w:rPr>
          <w:sz w:val="24"/>
        </w:rPr>
      </w:pPr>
    </w:p>
    <w:p w:rsidR="007E3C86" w:rsidRPr="0098220E" w:rsidRDefault="007E3C86" w:rsidP="007E3C86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</w:t>
      </w:r>
      <w:r w:rsidR="008406A6">
        <w:rPr>
          <w:rFonts w:cs="Times New Roman"/>
          <w:sz w:val="24"/>
        </w:rPr>
        <w:t>5</w:t>
      </w:r>
      <w:r w:rsidR="00BF6A97">
        <w:rPr>
          <w:rFonts w:cs="Times New Roman"/>
          <w:sz w:val="24"/>
        </w:rPr>
        <w:t>-202</w:t>
      </w:r>
      <w:r w:rsidR="008406A6">
        <w:rPr>
          <w:rFonts w:cs="Times New Roman"/>
          <w:sz w:val="24"/>
        </w:rPr>
        <w:t>9</w:t>
      </w:r>
      <w:r w:rsidR="00BF6A97">
        <w:rPr>
          <w:rFonts w:cs="Times New Roman"/>
          <w:sz w:val="24"/>
        </w:rPr>
        <w:t xml:space="preserve">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8406A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8406A6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8406A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8406A6"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8406A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7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8406A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8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8406A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8406A6">
              <w:rPr>
                <w:rFonts w:cs="Times New Roman"/>
                <w:sz w:val="22"/>
              </w:rPr>
              <w:t>9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9C3903" w:rsidRPr="00F34506" w:rsidTr="009C3903">
        <w:trPr>
          <w:trHeight w:val="1256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31</w:t>
            </w:r>
            <w:r>
              <w:rPr>
                <w:rFonts w:cs="Times New Roman"/>
                <w:sz w:val="22"/>
              </w:rPr>
              <w:t>5 000,00</w:t>
            </w:r>
          </w:p>
        </w:tc>
        <w:tc>
          <w:tcPr>
            <w:tcW w:w="1701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315 000,00</w:t>
            </w:r>
          </w:p>
        </w:tc>
        <w:tc>
          <w:tcPr>
            <w:tcW w:w="2126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315 000,00</w:t>
            </w:r>
          </w:p>
        </w:tc>
        <w:tc>
          <w:tcPr>
            <w:tcW w:w="1985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315 000,00</w:t>
            </w:r>
          </w:p>
        </w:tc>
        <w:tc>
          <w:tcPr>
            <w:tcW w:w="1843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315 000,00</w:t>
            </w:r>
          </w:p>
        </w:tc>
        <w:tc>
          <w:tcPr>
            <w:tcW w:w="2123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1 575 000,00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2A2BCB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</w:t>
            </w:r>
            <w:r w:rsidR="002A2BCB">
              <w:rPr>
                <w:rFonts w:cs="Times New Roman"/>
                <w:sz w:val="22"/>
              </w:rPr>
              <w:t>2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2A2BCB" w:rsidRDefault="002A2BCB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485 000,00</w:t>
            </w:r>
          </w:p>
        </w:tc>
        <w:tc>
          <w:tcPr>
            <w:tcW w:w="1701" w:type="dxa"/>
          </w:tcPr>
          <w:p w:rsidR="009C3903" w:rsidRPr="002A2BCB" w:rsidRDefault="002A2BCB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485 000,00</w:t>
            </w:r>
          </w:p>
        </w:tc>
        <w:tc>
          <w:tcPr>
            <w:tcW w:w="2126" w:type="dxa"/>
          </w:tcPr>
          <w:p w:rsidR="009C3903" w:rsidRPr="002A2BCB" w:rsidRDefault="002A2BCB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485 000,00</w:t>
            </w:r>
          </w:p>
        </w:tc>
        <w:tc>
          <w:tcPr>
            <w:tcW w:w="1985" w:type="dxa"/>
          </w:tcPr>
          <w:p w:rsidR="009C3903" w:rsidRPr="002A2BCB" w:rsidRDefault="002A2BCB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485 000,00</w:t>
            </w:r>
          </w:p>
        </w:tc>
        <w:tc>
          <w:tcPr>
            <w:tcW w:w="1843" w:type="dxa"/>
          </w:tcPr>
          <w:p w:rsidR="009C3903" w:rsidRPr="002A2BCB" w:rsidRDefault="002A2BCB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485 000,000</w:t>
            </w:r>
          </w:p>
        </w:tc>
        <w:tc>
          <w:tcPr>
            <w:tcW w:w="2123" w:type="dxa"/>
          </w:tcPr>
          <w:p w:rsidR="009C3903" w:rsidRPr="002A2BCB" w:rsidRDefault="00E00B4F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2 425 000,00</w:t>
            </w:r>
          </w:p>
        </w:tc>
      </w:tr>
      <w:tr w:rsidR="002A2BCB" w:rsidRPr="00F34506" w:rsidTr="009C3903">
        <w:trPr>
          <w:trHeight w:val="509"/>
        </w:trPr>
        <w:tc>
          <w:tcPr>
            <w:tcW w:w="535" w:type="dxa"/>
          </w:tcPr>
          <w:p w:rsidR="002A2BCB" w:rsidRPr="00F34506" w:rsidRDefault="002A2BCB" w:rsidP="002A2BC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2A2BCB" w:rsidRPr="002A2BCB" w:rsidRDefault="002A2BCB" w:rsidP="002A2BCB">
            <w:pPr>
              <w:spacing w:before="100" w:beforeAutospacing="1"/>
              <w:rPr>
                <w:rFonts w:cs="Times New Roman"/>
                <w:sz w:val="22"/>
              </w:rPr>
            </w:pPr>
            <w:r w:rsidRPr="002A2BCB">
              <w:rPr>
                <w:rFonts w:cs="Times New Roman"/>
                <w:sz w:val="22"/>
              </w:rPr>
              <w:t>Техническое обслуживание стационарной кнопки передачи тревожного извещения</w:t>
            </w:r>
          </w:p>
        </w:tc>
        <w:tc>
          <w:tcPr>
            <w:tcW w:w="1307" w:type="dxa"/>
          </w:tcPr>
          <w:p w:rsidR="002A2BCB" w:rsidRPr="00F34506" w:rsidRDefault="002A2BCB" w:rsidP="002A2BC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2A2BCB" w:rsidRPr="002A2BCB" w:rsidRDefault="00E00B4F" w:rsidP="002A2BC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1701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250 00</w:t>
            </w:r>
            <w:r w:rsidR="002A2BCB" w:rsidRPr="002A2BCB"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250 00</w:t>
            </w:r>
            <w:r w:rsidR="002A2BCB" w:rsidRPr="002A2BCB">
              <w:rPr>
                <w:sz w:val="22"/>
              </w:rPr>
              <w:t>0,00</w:t>
            </w:r>
          </w:p>
        </w:tc>
        <w:tc>
          <w:tcPr>
            <w:tcW w:w="1985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250 00</w:t>
            </w:r>
            <w:r w:rsidR="002A2BCB" w:rsidRPr="002A2BCB">
              <w:rPr>
                <w:sz w:val="22"/>
              </w:rPr>
              <w:t>0,00</w:t>
            </w:r>
          </w:p>
        </w:tc>
        <w:tc>
          <w:tcPr>
            <w:tcW w:w="1843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250 00</w:t>
            </w:r>
            <w:r w:rsidR="002A2BCB" w:rsidRPr="002A2BCB">
              <w:rPr>
                <w:sz w:val="22"/>
              </w:rPr>
              <w:t>0,00</w:t>
            </w:r>
          </w:p>
        </w:tc>
        <w:tc>
          <w:tcPr>
            <w:tcW w:w="2123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1 250 000,00</w:t>
            </w:r>
          </w:p>
        </w:tc>
      </w:tr>
      <w:tr w:rsidR="002A2BCB" w:rsidRPr="00F34506" w:rsidTr="009C3903">
        <w:trPr>
          <w:trHeight w:val="254"/>
        </w:trPr>
        <w:tc>
          <w:tcPr>
            <w:tcW w:w="2821" w:type="dxa"/>
            <w:gridSpan w:val="2"/>
          </w:tcPr>
          <w:p w:rsidR="002A2BCB" w:rsidRDefault="002A2BCB" w:rsidP="002A2BCB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2A2BCB" w:rsidRDefault="002A2BCB" w:rsidP="002A2BC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2A2BCB" w:rsidRPr="002A2BCB" w:rsidRDefault="00E00B4F" w:rsidP="002A2BC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1 050 000,00</w:t>
            </w:r>
          </w:p>
        </w:tc>
        <w:tc>
          <w:tcPr>
            <w:tcW w:w="1701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1 050 000,00</w:t>
            </w:r>
          </w:p>
        </w:tc>
        <w:tc>
          <w:tcPr>
            <w:tcW w:w="2126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1 050 000,00</w:t>
            </w:r>
          </w:p>
        </w:tc>
        <w:tc>
          <w:tcPr>
            <w:tcW w:w="1985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1 050 000,00</w:t>
            </w:r>
          </w:p>
        </w:tc>
        <w:tc>
          <w:tcPr>
            <w:tcW w:w="1843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1 050 000,00</w:t>
            </w:r>
          </w:p>
        </w:tc>
        <w:tc>
          <w:tcPr>
            <w:tcW w:w="2123" w:type="dxa"/>
          </w:tcPr>
          <w:p w:rsidR="002A2BCB" w:rsidRPr="002A2BCB" w:rsidRDefault="00E00B4F" w:rsidP="002A2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5 250 000,00</w:t>
            </w:r>
          </w:p>
        </w:tc>
      </w:tr>
    </w:tbl>
    <w:p w:rsidR="003672E7" w:rsidRDefault="003672E7" w:rsidP="00177E4E"/>
    <w:sectPr w:rsidR="003672E7" w:rsidSect="007E3C86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5D"/>
    <w:rsid w:val="00005A07"/>
    <w:rsid w:val="00012E40"/>
    <w:rsid w:val="0003703D"/>
    <w:rsid w:val="00042672"/>
    <w:rsid w:val="00047D92"/>
    <w:rsid w:val="00051E22"/>
    <w:rsid w:val="0008316F"/>
    <w:rsid w:val="000A08AF"/>
    <w:rsid w:val="000B2086"/>
    <w:rsid w:val="000C7B7A"/>
    <w:rsid w:val="000D0286"/>
    <w:rsid w:val="000E7196"/>
    <w:rsid w:val="001237E9"/>
    <w:rsid w:val="00134895"/>
    <w:rsid w:val="00160DAC"/>
    <w:rsid w:val="00162C9F"/>
    <w:rsid w:val="00177E4E"/>
    <w:rsid w:val="001A6A6E"/>
    <w:rsid w:val="001A6AA9"/>
    <w:rsid w:val="001C4295"/>
    <w:rsid w:val="001C633F"/>
    <w:rsid w:val="001D2FBE"/>
    <w:rsid w:val="001D65B3"/>
    <w:rsid w:val="00242861"/>
    <w:rsid w:val="002566C6"/>
    <w:rsid w:val="00266C18"/>
    <w:rsid w:val="00267FE1"/>
    <w:rsid w:val="002A2BCB"/>
    <w:rsid w:val="002A73E2"/>
    <w:rsid w:val="002A7D8F"/>
    <w:rsid w:val="002B10B6"/>
    <w:rsid w:val="002C57E8"/>
    <w:rsid w:val="002E23C2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190"/>
    <w:rsid w:val="003672E7"/>
    <w:rsid w:val="00376F20"/>
    <w:rsid w:val="003A01F6"/>
    <w:rsid w:val="003A2A18"/>
    <w:rsid w:val="003A5A2A"/>
    <w:rsid w:val="003B080D"/>
    <w:rsid w:val="003C7781"/>
    <w:rsid w:val="003D1C32"/>
    <w:rsid w:val="003E2A74"/>
    <w:rsid w:val="003F2F7B"/>
    <w:rsid w:val="003F60A8"/>
    <w:rsid w:val="004078A7"/>
    <w:rsid w:val="00413FC1"/>
    <w:rsid w:val="00461913"/>
    <w:rsid w:val="00463AEC"/>
    <w:rsid w:val="00475DAF"/>
    <w:rsid w:val="004A00E8"/>
    <w:rsid w:val="004A4C04"/>
    <w:rsid w:val="004B6832"/>
    <w:rsid w:val="004D6C27"/>
    <w:rsid w:val="004F755D"/>
    <w:rsid w:val="005042E0"/>
    <w:rsid w:val="00531DB0"/>
    <w:rsid w:val="00541D1A"/>
    <w:rsid w:val="005728F7"/>
    <w:rsid w:val="005768C5"/>
    <w:rsid w:val="00581155"/>
    <w:rsid w:val="00592F9E"/>
    <w:rsid w:val="00593716"/>
    <w:rsid w:val="0059533C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A20BE"/>
    <w:rsid w:val="006B3814"/>
    <w:rsid w:val="006B5ADD"/>
    <w:rsid w:val="006C10EA"/>
    <w:rsid w:val="006C47A4"/>
    <w:rsid w:val="006C6699"/>
    <w:rsid w:val="006C7F47"/>
    <w:rsid w:val="0070105A"/>
    <w:rsid w:val="0070573F"/>
    <w:rsid w:val="00723FDB"/>
    <w:rsid w:val="00725A1E"/>
    <w:rsid w:val="00727F44"/>
    <w:rsid w:val="0073375B"/>
    <w:rsid w:val="00736702"/>
    <w:rsid w:val="007513F0"/>
    <w:rsid w:val="00752867"/>
    <w:rsid w:val="0076413A"/>
    <w:rsid w:val="00766957"/>
    <w:rsid w:val="00767BDD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6E06"/>
    <w:rsid w:val="00815004"/>
    <w:rsid w:val="008203DD"/>
    <w:rsid w:val="00822713"/>
    <w:rsid w:val="008406A6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3A2B"/>
    <w:rsid w:val="00925858"/>
    <w:rsid w:val="00946199"/>
    <w:rsid w:val="00961FE0"/>
    <w:rsid w:val="00977F38"/>
    <w:rsid w:val="009800BC"/>
    <w:rsid w:val="00997226"/>
    <w:rsid w:val="009A029B"/>
    <w:rsid w:val="009B2E0D"/>
    <w:rsid w:val="009B5173"/>
    <w:rsid w:val="009C3903"/>
    <w:rsid w:val="009D5C6A"/>
    <w:rsid w:val="009E6081"/>
    <w:rsid w:val="009E6622"/>
    <w:rsid w:val="009F237F"/>
    <w:rsid w:val="00A22DC4"/>
    <w:rsid w:val="00A31DBF"/>
    <w:rsid w:val="00A35FF5"/>
    <w:rsid w:val="00A42624"/>
    <w:rsid w:val="00A46B17"/>
    <w:rsid w:val="00A72EB9"/>
    <w:rsid w:val="00A74207"/>
    <w:rsid w:val="00A77C64"/>
    <w:rsid w:val="00AC0E46"/>
    <w:rsid w:val="00AE38AD"/>
    <w:rsid w:val="00AE3CF0"/>
    <w:rsid w:val="00AE7014"/>
    <w:rsid w:val="00B176BB"/>
    <w:rsid w:val="00B262D6"/>
    <w:rsid w:val="00B72BAA"/>
    <w:rsid w:val="00B734CE"/>
    <w:rsid w:val="00B73E75"/>
    <w:rsid w:val="00B80F14"/>
    <w:rsid w:val="00B93220"/>
    <w:rsid w:val="00BA0E52"/>
    <w:rsid w:val="00BD4B12"/>
    <w:rsid w:val="00BF38A9"/>
    <w:rsid w:val="00BF6A97"/>
    <w:rsid w:val="00C22581"/>
    <w:rsid w:val="00C36643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C1348"/>
    <w:rsid w:val="00CC4415"/>
    <w:rsid w:val="00CE23C9"/>
    <w:rsid w:val="00CE3B79"/>
    <w:rsid w:val="00CE7DA8"/>
    <w:rsid w:val="00CF0F78"/>
    <w:rsid w:val="00D05392"/>
    <w:rsid w:val="00D13429"/>
    <w:rsid w:val="00D274B1"/>
    <w:rsid w:val="00D61D9F"/>
    <w:rsid w:val="00D8063E"/>
    <w:rsid w:val="00D91962"/>
    <w:rsid w:val="00DA3134"/>
    <w:rsid w:val="00DB485E"/>
    <w:rsid w:val="00DC0658"/>
    <w:rsid w:val="00DC79B3"/>
    <w:rsid w:val="00DE089E"/>
    <w:rsid w:val="00DF5F1B"/>
    <w:rsid w:val="00E00ACD"/>
    <w:rsid w:val="00E00B4F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33D3A"/>
    <w:rsid w:val="00F454A9"/>
    <w:rsid w:val="00F4590B"/>
    <w:rsid w:val="00F56B9A"/>
    <w:rsid w:val="00F60753"/>
    <w:rsid w:val="00F66CFA"/>
    <w:rsid w:val="00F8535C"/>
    <w:rsid w:val="00F85925"/>
    <w:rsid w:val="00F9213C"/>
    <w:rsid w:val="00F97A45"/>
    <w:rsid w:val="00FA70AD"/>
    <w:rsid w:val="00FB4787"/>
    <w:rsid w:val="00FC70E3"/>
    <w:rsid w:val="00FC77CC"/>
    <w:rsid w:val="00FD0FDB"/>
    <w:rsid w:val="00FD522E"/>
    <w:rsid w:val="00FF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BFD3"/>
  <w15:docId w15:val="{E8C7763F-E774-4E26-9D9D-D810EFBD7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46191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2A2BCB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.ru/20210811/shkola-17453386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ia.ru/20210520/strelba-173312714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ia.ru/20210920/strelba-1750917011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kpd.avo.ru/documents/33446/1270131/0001201805070038.pdf/70e6b7a3-6c64-487c-59c5-a85b569e4e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iosputnik.ria.ru/20210721/galyaviev-17422310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4492</Words>
  <Characters>25609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16</cp:revision>
  <cp:lastPrinted>2024-11-02T04:18:00Z</cp:lastPrinted>
  <dcterms:created xsi:type="dcterms:W3CDTF">2024-10-31T07:34:00Z</dcterms:created>
  <dcterms:modified xsi:type="dcterms:W3CDTF">2024-11-02T04:57:00Z</dcterms:modified>
</cp:coreProperties>
</file>